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26" w:rsidRDefault="00700F4E">
      <w:pPr>
        <w:rPr>
          <w:rFonts w:ascii="Times New Roman" w:hAnsi="Times New Roman"/>
        </w:rPr>
      </w:pPr>
      <w:bookmarkStart w:id="0" w:name="_GoBack"/>
      <w:bookmarkEnd w:id="0"/>
      <w:r>
        <w:rPr>
          <w:rFonts w:ascii="Times New Roman" w:hAnsi="Times New Roman"/>
          <w:lang w:val="en-US" w:eastAsia="en-US" w:bidi="x-none"/>
        </w:rPr>
        <w:pict>
          <v:shapetype id="_x0000_t202" coordsize="21600,21600" o:spt="202" path="m,l,21600r21600,l21600,xe">
            <v:stroke joinstyle="miter"/>
            <v:path gradientshapeok="t" o:connecttype="rect"/>
          </v:shapetype>
          <v:shape id="_x0000_s1035" type="#_x0000_t202" style="position:absolute;margin-left:235.8pt;margin-top:-18pt;width:225pt;height:117pt;z-index:251659776" fillcolor="yellow">
            <v:textbox style="mso-next-textbox:#_x0000_s1035">
              <w:txbxContent>
                <w:p w:rsidR="00527C26" w:rsidRPr="008A73A2" w:rsidRDefault="00700F4E" w:rsidP="00527C26">
                  <w:pPr>
                    <w:jc w:val="center"/>
                    <w:rPr>
                      <w:rFonts w:ascii="Verdana" w:hAnsi="Verdana"/>
                      <w:b/>
                      <w:sz w:val="20"/>
                    </w:rPr>
                  </w:pPr>
                  <w:r w:rsidRPr="008A73A2">
                    <w:rPr>
                      <w:rFonts w:ascii="Verdana" w:hAnsi="Verdana"/>
                      <w:b/>
                      <w:sz w:val="20"/>
                    </w:rPr>
                    <w:t>Sample Only</w:t>
                  </w:r>
                </w:p>
                <w:p w:rsidR="00527C26" w:rsidRPr="008A73A2" w:rsidRDefault="00700F4E">
                  <w:pPr>
                    <w:rPr>
                      <w:rFonts w:ascii="Verdana" w:hAnsi="Verdana"/>
                      <w:sz w:val="20"/>
                    </w:rPr>
                  </w:pPr>
                  <w:r w:rsidRPr="008A73A2">
                    <w:rPr>
                      <w:rFonts w:ascii="Verdana" w:hAnsi="Verdana"/>
                      <w:sz w:val="20"/>
                    </w:rPr>
                    <w:t xml:space="preserve">This document was submitted by students in a previous class. Their requirements were different from yours. We offer it only as a sample of </w:t>
                  </w:r>
                  <w:r w:rsidRPr="008A73A2">
                    <w:rPr>
                      <w:rFonts w:ascii="Verdana" w:hAnsi="Verdana"/>
                      <w:sz w:val="20"/>
                    </w:rPr>
                    <w:t>what a project was for that class. Copying this document, in whole or in part, and submitting the result as your own work, would be a violation of the honor code.</w:t>
                  </w:r>
                </w:p>
              </w:txbxContent>
            </v:textbox>
          </v:shape>
        </w:pict>
      </w:r>
      <w:r>
        <w:rPr>
          <w:rFonts w:ascii="Times New Roman" w:hAnsi="Times New Roman"/>
        </w:rPr>
        <w:t>AllMed01</w:t>
      </w:r>
    </w:p>
    <w:p w:rsidR="00527C26" w:rsidRDefault="00700F4E">
      <w:pPr>
        <w:rPr>
          <w:rFonts w:ascii="Times New Roman" w:hAnsi="Times New Roman"/>
          <w:lang w:val="fr-FR"/>
        </w:rPr>
      </w:pPr>
      <w:r>
        <w:rPr>
          <w:rFonts w:ascii="Times New Roman" w:hAnsi="Times New Roman"/>
          <w:lang w:val="fr-FR"/>
        </w:rPr>
        <w:t>User Guide</w:t>
      </w:r>
    </w:p>
    <w:p w:rsidR="00527C26" w:rsidRDefault="00700F4E">
      <w:pPr>
        <w:pStyle w:val="Header"/>
        <w:rPr>
          <w:rFonts w:ascii="Times New Roman" w:hAnsi="Times New Roman"/>
        </w:rPr>
      </w:pPr>
      <w:r>
        <w:rPr>
          <w:rFonts w:ascii="Times New Roman" w:hAnsi="Times New Roman"/>
        </w:rPr>
        <w:t>&lt;student name 1&gt; &lt;student 1 email address&gt;</w:t>
      </w:r>
    </w:p>
    <w:p w:rsidR="00527C26" w:rsidRDefault="00700F4E">
      <w:pPr>
        <w:pStyle w:val="Header"/>
        <w:rPr>
          <w:rFonts w:ascii="Times New Roman" w:hAnsi="Times New Roman"/>
        </w:rPr>
      </w:pPr>
      <w:r>
        <w:rPr>
          <w:rFonts w:ascii="Times New Roman" w:hAnsi="Times New Roman"/>
        </w:rPr>
        <w:t>&lt;student name 1&gt; &lt;student 2 email address&gt;</w:t>
      </w:r>
    </w:p>
    <w:p w:rsidR="00527C26" w:rsidRDefault="00700F4E">
      <w:pPr>
        <w:rPr>
          <w:rFonts w:ascii="Times New Roman" w:hAnsi="Times New Roman"/>
        </w:rPr>
      </w:pPr>
    </w:p>
    <w:p w:rsidR="00527C26" w:rsidRDefault="00700F4E">
      <w:pPr>
        <w:pStyle w:val="Heading6"/>
        <w:rPr>
          <w:i/>
          <w:u w:val="none"/>
        </w:rPr>
      </w:pPr>
    </w:p>
    <w:p w:rsidR="00527C26" w:rsidRDefault="00700F4E">
      <w:pPr>
        <w:pStyle w:val="Heading6"/>
        <w:rPr>
          <w:b/>
          <w:i/>
          <w:u w:val="none"/>
        </w:rPr>
      </w:pPr>
      <w:r>
        <w:rPr>
          <w:i/>
          <w:u w:val="none"/>
        </w:rPr>
        <w:t>Model and User Description</w:t>
      </w:r>
    </w:p>
    <w:p w:rsidR="00527C26" w:rsidRDefault="00700F4E"/>
    <w:p w:rsidR="00527C26" w:rsidRDefault="00700F4E">
      <w:pPr>
        <w:spacing w:line="480" w:lineRule="auto"/>
        <w:rPr>
          <w:rFonts w:ascii="Times New Roman" w:hAnsi="Times New Roman"/>
        </w:rPr>
      </w:pPr>
      <w:r>
        <w:rPr>
          <w:rFonts w:ascii="Times New Roman" w:hAnsi="Times New Roman"/>
        </w:rPr>
        <w:t>AllMed01 model projects the financial and human resources need when opening and sustaining the operations of a new comm</w:t>
      </w:r>
      <w:r>
        <w:rPr>
          <w:rFonts w:ascii="Times New Roman" w:hAnsi="Times New Roman"/>
        </w:rPr>
        <w:t>unity based physician practice.  Data is entered into the parameter and Inputs worksheets to form a quarterly Profit and Loss statement, ultimately projecting the financial performance of a physician practice.  All of the other sheets are linked to the Pro</w:t>
      </w:r>
      <w:r>
        <w:rPr>
          <w:rFonts w:ascii="Times New Roman" w:hAnsi="Times New Roman"/>
        </w:rPr>
        <w:t xml:space="preserve">fit and Loss statement so that changes to the parameter and input worksheets ripple throughout the entire workbook.  </w:t>
      </w:r>
    </w:p>
    <w:p w:rsidR="00527C26" w:rsidRDefault="00700F4E">
      <w:pPr>
        <w:spacing w:line="480" w:lineRule="auto"/>
        <w:rPr>
          <w:rFonts w:ascii="Times New Roman" w:hAnsi="Times New Roman"/>
        </w:rPr>
      </w:pPr>
      <w:r>
        <w:rPr>
          <w:rFonts w:ascii="Times New Roman" w:hAnsi="Times New Roman"/>
        </w:rPr>
        <w:t>The developers of this model assume that the user has financial and operational experience in physician practice management.   The standar</w:t>
      </w:r>
      <w:r>
        <w:rPr>
          <w:rFonts w:ascii="Times New Roman" w:hAnsi="Times New Roman"/>
        </w:rPr>
        <w:t>d healthcare financial terms used in the parameter and input worksheets, therefore, are assumed to be understood.  The user guide is subdivided into sections that correspond to each worksheet.</w:t>
      </w:r>
    </w:p>
    <w:p w:rsidR="00527C26" w:rsidRDefault="00700F4E">
      <w:pPr>
        <w:spacing w:line="480" w:lineRule="auto"/>
        <w:rPr>
          <w:rFonts w:ascii="Times New Roman" w:hAnsi="Times New Roman"/>
          <w:b/>
        </w:rPr>
      </w:pPr>
      <w:r>
        <w:rPr>
          <w:rFonts w:ascii="Times New Roman" w:hAnsi="Times New Roman"/>
          <w:b/>
        </w:rPr>
        <w:t>Users are cautioned against making changes to the model other t</w:t>
      </w:r>
      <w:r>
        <w:rPr>
          <w:rFonts w:ascii="Times New Roman" w:hAnsi="Times New Roman"/>
          <w:b/>
        </w:rPr>
        <w:t>han within the cells on the parameter or input sheets without consulting the person tasked with maintenance of AllMed01.  Changes to the sizes of parameter blocks or to formulas within other sheets, will cause errors in the model.</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Info</w:t>
      </w:r>
    </w:p>
    <w:p w:rsidR="00527C26" w:rsidRDefault="00700F4E">
      <w:pPr>
        <w:spacing w:line="480" w:lineRule="auto"/>
        <w:rPr>
          <w:rFonts w:ascii="Times New Roman" w:hAnsi="Times New Roman"/>
        </w:rPr>
      </w:pPr>
      <w:r>
        <w:rPr>
          <w:rFonts w:ascii="Times New Roman" w:hAnsi="Times New Roman"/>
        </w:rPr>
        <w:t>The info sheet cont</w:t>
      </w:r>
      <w:r>
        <w:rPr>
          <w:rFonts w:ascii="Times New Roman" w:hAnsi="Times New Roman"/>
        </w:rPr>
        <w:t>ains Internet contact information to the model developers so users may address any questions regarding the model.</w:t>
      </w:r>
    </w:p>
    <w:p w:rsidR="00527C26" w:rsidRDefault="00700F4E">
      <w:pPr>
        <w:spacing w:line="480" w:lineRule="auto"/>
        <w:rPr>
          <w:i/>
        </w:rPr>
      </w:pPr>
      <w:r>
        <w:rPr>
          <w:rFonts w:ascii="Times New Roman" w:hAnsi="Times New Roman"/>
        </w:rPr>
        <w:br w:type="page"/>
      </w:r>
      <w:r>
        <w:rPr>
          <w:rFonts w:ascii="Times New Roman" w:hAnsi="Times New Roman"/>
          <w:i/>
        </w:rPr>
        <w:lastRenderedPageBreak/>
        <w:t>Parameters</w:t>
      </w:r>
    </w:p>
    <w:p w:rsidR="00527C26" w:rsidRDefault="00700F4E">
      <w:pPr>
        <w:spacing w:line="480" w:lineRule="auto"/>
        <w:rPr>
          <w:rFonts w:ascii="Times New Roman" w:hAnsi="Times New Roman"/>
        </w:rPr>
      </w:pPr>
      <w:r>
        <w:rPr>
          <w:rFonts w:ascii="Times New Roman" w:hAnsi="Times New Roman"/>
        </w:rPr>
        <w:t>The 1</w:t>
      </w:r>
      <w:r>
        <w:rPr>
          <w:rFonts w:ascii="Times New Roman" w:hAnsi="Times New Roman"/>
          <w:vertAlign w:val="superscript"/>
        </w:rPr>
        <w:t>st</w:t>
      </w:r>
      <w:r>
        <w:rPr>
          <w:rFonts w:ascii="Times New Roman" w:hAnsi="Times New Roman"/>
        </w:rPr>
        <w:t xml:space="preserve"> parameter block on this sheet contains the following, which are self-explanatory and are used through out the model:</w:t>
      </w:r>
    </w:p>
    <w:p w:rsidR="00527C26" w:rsidRDefault="00700F4E" w:rsidP="00700F4E">
      <w:pPr>
        <w:numPr>
          <w:ilvl w:val="0"/>
          <w:numId w:val="3"/>
        </w:numPr>
        <w:ind w:left="2347"/>
        <w:rPr>
          <w:rFonts w:ascii="Times New Roman" w:hAnsi="Times New Roman"/>
          <w:lang w:val="fr-FR"/>
        </w:rPr>
      </w:pPr>
      <w:r>
        <w:rPr>
          <w:rFonts w:ascii="Times New Roman" w:hAnsi="Times New Roman"/>
          <w:lang w:val="fr-FR"/>
        </w:rPr>
        <w:t>Net R</w:t>
      </w:r>
      <w:r>
        <w:rPr>
          <w:rFonts w:ascii="Times New Roman" w:hAnsi="Times New Roman"/>
          <w:lang w:val="fr-FR"/>
        </w:rPr>
        <w:t>evenue</w:t>
      </w:r>
      <w:r>
        <w:rPr>
          <w:rFonts w:ascii="Times New Roman" w:hAnsi="Times New Roman"/>
        </w:rPr>
        <w:t>/Visit</w:t>
      </w:r>
    </w:p>
    <w:p w:rsidR="00527C26" w:rsidRDefault="00700F4E" w:rsidP="00700F4E">
      <w:pPr>
        <w:numPr>
          <w:ilvl w:val="0"/>
          <w:numId w:val="3"/>
        </w:numPr>
        <w:ind w:left="2347"/>
        <w:rPr>
          <w:rFonts w:ascii="Times New Roman" w:hAnsi="Times New Roman"/>
          <w:lang w:val="fr-FR"/>
        </w:rPr>
      </w:pPr>
      <w:r>
        <w:rPr>
          <w:rFonts w:ascii="Times New Roman" w:hAnsi="Times New Roman"/>
          <w:lang w:val="fr-FR"/>
        </w:rPr>
        <w:t>Net Collection %</w:t>
      </w:r>
    </w:p>
    <w:p w:rsidR="00527C26" w:rsidRDefault="00700F4E" w:rsidP="00700F4E">
      <w:pPr>
        <w:numPr>
          <w:ilvl w:val="0"/>
          <w:numId w:val="3"/>
        </w:numPr>
        <w:ind w:left="2347"/>
        <w:rPr>
          <w:rFonts w:ascii="Times New Roman" w:hAnsi="Times New Roman"/>
        </w:rPr>
      </w:pPr>
      <w:r>
        <w:rPr>
          <w:rFonts w:ascii="Times New Roman" w:hAnsi="Times New Roman"/>
        </w:rPr>
        <w:t>Expense Inflation Rate</w:t>
      </w:r>
    </w:p>
    <w:p w:rsidR="00527C26" w:rsidRDefault="00700F4E" w:rsidP="00700F4E">
      <w:pPr>
        <w:numPr>
          <w:ilvl w:val="0"/>
          <w:numId w:val="3"/>
        </w:numPr>
        <w:ind w:left="2347"/>
        <w:rPr>
          <w:rFonts w:ascii="Times New Roman" w:hAnsi="Times New Roman"/>
        </w:rPr>
      </w:pPr>
      <w:r>
        <w:rPr>
          <w:rFonts w:ascii="Times New Roman" w:hAnsi="Times New Roman"/>
        </w:rPr>
        <w:t>Annual Staff Salary Increase</w:t>
      </w:r>
    </w:p>
    <w:p w:rsidR="00527C26" w:rsidRDefault="00700F4E" w:rsidP="00700F4E">
      <w:pPr>
        <w:numPr>
          <w:ilvl w:val="0"/>
          <w:numId w:val="3"/>
        </w:numPr>
        <w:ind w:left="2347"/>
        <w:rPr>
          <w:rFonts w:ascii="Times New Roman" w:hAnsi="Times New Roman"/>
        </w:rPr>
      </w:pPr>
      <w:r>
        <w:rPr>
          <w:rFonts w:ascii="Times New Roman" w:hAnsi="Times New Roman"/>
        </w:rPr>
        <w:t>Capital Investment</w:t>
      </w:r>
    </w:p>
    <w:p w:rsidR="00527C26" w:rsidRDefault="00700F4E" w:rsidP="00700F4E">
      <w:pPr>
        <w:numPr>
          <w:ilvl w:val="0"/>
          <w:numId w:val="3"/>
        </w:numPr>
        <w:ind w:left="2347"/>
        <w:rPr>
          <w:rFonts w:ascii="Times New Roman" w:hAnsi="Times New Roman"/>
        </w:rPr>
      </w:pPr>
      <w:r>
        <w:rPr>
          <w:rFonts w:ascii="Times New Roman" w:hAnsi="Times New Roman"/>
        </w:rPr>
        <w:t>Depreciation Period</w:t>
      </w:r>
    </w:p>
    <w:p w:rsidR="00527C26" w:rsidRDefault="00700F4E">
      <w:pPr>
        <w:spacing w:line="480" w:lineRule="auto"/>
        <w:rPr>
          <w:rFonts w:ascii="Times New Roman" w:hAnsi="Times New Roman"/>
        </w:rPr>
      </w:pPr>
    </w:p>
    <w:p w:rsidR="00527C26" w:rsidRDefault="00700F4E">
      <w:pPr>
        <w:spacing w:line="480" w:lineRule="auto"/>
        <w:rPr>
          <w:rFonts w:ascii="Times New Roman" w:hAnsi="Times New Roman"/>
        </w:rPr>
      </w:pPr>
      <w:r>
        <w:rPr>
          <w:rFonts w:ascii="Times New Roman" w:hAnsi="Times New Roman"/>
          <w:sz w:val="20"/>
        </w:rPr>
        <w:pict>
          <v:shape id="_x0000_s1030" type="#_x0000_t202" style="position:absolute;margin-left:315.8pt;margin-top:219.6pt;width:6pt;height:16.3pt;z-index:251657728" o:allowincell="f" fillcolor="#c9f">
            <v:textbox style="mso-next-textbox:#_x0000_s1030">
              <w:txbxContent>
                <w:p w:rsidR="00527C26" w:rsidRDefault="00700F4E">
                  <w:pPr>
                    <w:rPr>
                      <w:color w:val="00FF00"/>
                    </w:rPr>
                  </w:pPr>
                  <w:r>
                    <w:rPr>
                      <w:color w:val="00FF00"/>
                    </w:rPr>
                    <w:t xml:space="preserve"> </w:t>
                  </w:r>
                </w:p>
              </w:txbxContent>
            </v:textbox>
          </v:shape>
        </w:pict>
      </w:r>
      <w:r>
        <w:rPr>
          <w:rFonts w:ascii="Times New Roman" w:hAnsi="Times New Roman"/>
          <w:sz w:val="20"/>
        </w:rPr>
        <w:pict>
          <v:shape id="_x0000_s1029" type="#_x0000_t202" style="position:absolute;margin-left:97.8pt;margin-top:53.1pt;width:6pt;height:16.3pt;z-index:251656704" o:allowincell="f" fillcolor="#cff">
            <v:textbox style="mso-next-textbox:#_x0000_s1029">
              <w:txbxContent>
                <w:p w:rsidR="00527C26" w:rsidRDefault="00700F4E">
                  <w:pPr>
                    <w:rPr>
                      <w:color w:val="00FF00"/>
                    </w:rPr>
                  </w:pPr>
                </w:p>
              </w:txbxContent>
            </v:textbox>
          </v:shape>
        </w:pict>
      </w:r>
      <w:r>
        <w:rPr>
          <w:rFonts w:ascii="Times New Roman" w:hAnsi="Times New Roman"/>
        </w:rPr>
        <w:t>The parameters were set for AllMed01 by the model developers based on their knowledge of physician practice management.  The paramet</w:t>
      </w:r>
      <w:r>
        <w:rPr>
          <w:rFonts w:ascii="Times New Roman" w:hAnsi="Times New Roman"/>
        </w:rPr>
        <w:t xml:space="preserve">ers are grouped into blocks primarily by category.  All of the blue cells    in the parameter worksheet are independently entered and have no formulas attached.  Salary expenses are divided into Physician Salary and Support Staff Salary.  The remainder of </w:t>
      </w:r>
      <w:r>
        <w:rPr>
          <w:rFonts w:ascii="Times New Roman" w:hAnsi="Times New Roman"/>
        </w:rPr>
        <w:t>expenses is divided into Fixed and Variable Expenses. The Conversion factors are used to standardize all data into quarterly format.  The FTE Coefficient and Fringe Benefit % are used to calculate total salary expense for the support staff.  The FTE coeffi</w:t>
      </w:r>
      <w:r>
        <w:rPr>
          <w:rFonts w:ascii="Times New Roman" w:hAnsi="Times New Roman"/>
        </w:rPr>
        <w:t>cient is used to calculate salaries of part-time employee as a percentage of an FTE.  The FTE Coefficient and Conversion Factors, which are in the purple cells    are standards and should not be changed based on any user definition.</w:t>
      </w:r>
    </w:p>
    <w:p w:rsidR="00527C26" w:rsidRDefault="00700F4E">
      <w:pPr>
        <w:spacing w:line="480" w:lineRule="auto"/>
        <w:rPr>
          <w:rFonts w:ascii="Times New Roman" w:hAnsi="Times New Roman"/>
        </w:rPr>
      </w:pPr>
      <w:r>
        <w:rPr>
          <w:rFonts w:ascii="Times New Roman" w:hAnsi="Times New Roman"/>
        </w:rPr>
        <w:t>All of the parameters h</w:t>
      </w:r>
      <w:r>
        <w:rPr>
          <w:rFonts w:ascii="Times New Roman" w:hAnsi="Times New Roman"/>
        </w:rPr>
        <w:t xml:space="preserve">ave been named. (See </w:t>
      </w:r>
      <w:r>
        <w:rPr>
          <w:rFonts w:ascii="Times New Roman" w:hAnsi="Times New Roman"/>
          <w:u w:val="single"/>
        </w:rPr>
        <w:t>AllMed01 Names List</w:t>
      </w:r>
      <w:r>
        <w:rPr>
          <w:rFonts w:ascii="Times New Roman" w:hAnsi="Times New Roman"/>
        </w:rPr>
        <w:t>).  The following parameter blocks have also been named:</w:t>
      </w:r>
    </w:p>
    <w:p w:rsidR="00527C26" w:rsidRDefault="00700F4E" w:rsidP="00700F4E">
      <w:pPr>
        <w:numPr>
          <w:ilvl w:val="0"/>
          <w:numId w:val="4"/>
        </w:numPr>
        <w:rPr>
          <w:rFonts w:ascii="Times New Roman" w:hAnsi="Times New Roman"/>
        </w:rPr>
      </w:pPr>
      <w:r>
        <w:rPr>
          <w:rFonts w:ascii="Times New Roman" w:hAnsi="Times New Roman"/>
        </w:rPr>
        <w:t>Support Staff Type</w:t>
      </w:r>
    </w:p>
    <w:p w:rsidR="00527C26" w:rsidRDefault="00700F4E" w:rsidP="00700F4E">
      <w:pPr>
        <w:numPr>
          <w:ilvl w:val="0"/>
          <w:numId w:val="4"/>
        </w:numPr>
        <w:rPr>
          <w:rFonts w:ascii="Times New Roman" w:hAnsi="Times New Roman"/>
        </w:rPr>
      </w:pPr>
      <w:r>
        <w:rPr>
          <w:rFonts w:ascii="Times New Roman" w:hAnsi="Times New Roman"/>
        </w:rPr>
        <w:t>Fixed Expenses per Month</w:t>
      </w:r>
    </w:p>
    <w:p w:rsidR="00527C26" w:rsidRDefault="00700F4E" w:rsidP="00700F4E">
      <w:pPr>
        <w:numPr>
          <w:ilvl w:val="0"/>
          <w:numId w:val="4"/>
        </w:numPr>
        <w:rPr>
          <w:rFonts w:ascii="Times New Roman" w:hAnsi="Times New Roman"/>
        </w:rPr>
      </w:pPr>
      <w:r>
        <w:rPr>
          <w:rFonts w:ascii="Times New Roman" w:hAnsi="Times New Roman"/>
        </w:rPr>
        <w:t>Fixed Expenses per Quarter</w:t>
      </w:r>
    </w:p>
    <w:p w:rsidR="00527C26" w:rsidRDefault="00700F4E" w:rsidP="00700F4E">
      <w:pPr>
        <w:numPr>
          <w:ilvl w:val="0"/>
          <w:numId w:val="4"/>
        </w:numPr>
        <w:rPr>
          <w:rFonts w:ascii="Times New Roman" w:hAnsi="Times New Roman"/>
        </w:rPr>
      </w:pPr>
      <w:r>
        <w:rPr>
          <w:rFonts w:ascii="Times New Roman" w:hAnsi="Times New Roman"/>
        </w:rPr>
        <w:t>Variable Expense per Visit</w:t>
      </w:r>
    </w:p>
    <w:p w:rsidR="00527C26" w:rsidRDefault="00700F4E">
      <w:pPr>
        <w:rPr>
          <w:rFonts w:ascii="Times New Roman" w:hAnsi="Times New Roman"/>
        </w:rPr>
      </w:pPr>
    </w:p>
    <w:p w:rsidR="00527C26" w:rsidRDefault="00700F4E">
      <w:pPr>
        <w:pStyle w:val="Heading6"/>
        <w:rPr>
          <w:i/>
          <w:u w:val="none"/>
        </w:rPr>
      </w:pPr>
    </w:p>
    <w:p w:rsidR="00527C26" w:rsidRDefault="00700F4E">
      <w:pPr>
        <w:pStyle w:val="Heading6"/>
        <w:rPr>
          <w:i/>
          <w:u w:val="none"/>
        </w:rPr>
      </w:pPr>
    </w:p>
    <w:p w:rsidR="00527C26" w:rsidRDefault="00700F4E">
      <w:pPr>
        <w:pStyle w:val="Heading6"/>
        <w:rPr>
          <w:i/>
          <w:u w:val="none"/>
        </w:rPr>
      </w:pPr>
      <w:r>
        <w:rPr>
          <w:i/>
          <w:u w:val="none"/>
        </w:rPr>
        <w:t>Inputs</w:t>
      </w:r>
    </w:p>
    <w:p w:rsidR="00527C26" w:rsidRDefault="00700F4E"/>
    <w:p w:rsidR="00527C26" w:rsidRDefault="00700F4E">
      <w:pPr>
        <w:spacing w:line="480" w:lineRule="auto"/>
        <w:rPr>
          <w:rFonts w:ascii="Times New Roman" w:hAnsi="Times New Roman"/>
        </w:rPr>
      </w:pPr>
      <w:r>
        <w:rPr>
          <w:rFonts w:ascii="Times New Roman" w:hAnsi="Times New Roman"/>
          <w:sz w:val="20"/>
        </w:rPr>
        <w:pict>
          <v:shape id="_x0000_s1031" type="#_x0000_t202" style="position:absolute;margin-left:146.7pt;margin-top:82.2pt;width:6pt;height:16.3pt;z-index:251658752" o:allowincell="f" fillcolor="#ff9">
            <v:textbox>
              <w:txbxContent>
                <w:p w:rsidR="00527C26" w:rsidRDefault="00700F4E">
                  <w:pPr>
                    <w:rPr>
                      <w:color w:val="00FF00"/>
                    </w:rPr>
                  </w:pPr>
                </w:p>
              </w:txbxContent>
            </v:textbox>
          </v:shape>
        </w:pict>
      </w:r>
      <w:r>
        <w:rPr>
          <w:rFonts w:ascii="Times New Roman" w:hAnsi="Times New Roman"/>
          <w:sz w:val="20"/>
        </w:rPr>
        <w:pict>
          <v:shape id="_x0000_s1027" type="#_x0000_t202" style="position:absolute;margin-left:314.4pt;margin-top:26.05pt;width:6pt;height:16.3pt;z-index:251655680" o:allowincell="f" fillcolor="#cfc">
            <v:textbox>
              <w:txbxContent>
                <w:p w:rsidR="00527C26" w:rsidRDefault="00700F4E">
                  <w:pPr>
                    <w:rPr>
                      <w:color w:val="00FF00"/>
                    </w:rPr>
                  </w:pPr>
                </w:p>
              </w:txbxContent>
            </v:textbox>
          </v:shape>
        </w:pict>
      </w:r>
      <w:r>
        <w:rPr>
          <w:rFonts w:ascii="Times New Roman" w:hAnsi="Times New Roman"/>
        </w:rPr>
        <w:t>The Inputs worksheet contains the five input str</w:t>
      </w:r>
      <w:r>
        <w:rPr>
          <w:rFonts w:ascii="Times New Roman" w:hAnsi="Times New Roman"/>
        </w:rPr>
        <w:t>eams used in AllMed01.  Support Staff Hire Stream, Visits/Session and Session/Month are color-coded green    .   Expense Inflation Rate Stream and Annual Staff Salary Increase Stream are inputs, which contain parameters.  These inputs are color-coded yello</w:t>
      </w:r>
      <w:r>
        <w:rPr>
          <w:rFonts w:ascii="Times New Roman" w:hAnsi="Times New Roman"/>
        </w:rPr>
        <w:t>w    .    The following is a list of the inputs and a description of each:</w:t>
      </w:r>
    </w:p>
    <w:p w:rsidR="00527C26" w:rsidRDefault="00700F4E">
      <w:pPr>
        <w:pStyle w:val="Footer"/>
        <w:tabs>
          <w:tab w:val="clear" w:pos="4320"/>
          <w:tab w:val="clear" w:pos="8640"/>
        </w:tabs>
        <w:rPr>
          <w:rFonts w:ascii="Times New Roman" w:hAnsi="Times New Roman"/>
        </w:rPr>
      </w:pPr>
    </w:p>
    <w:p w:rsidR="00527C26" w:rsidRDefault="00700F4E">
      <w:pPr>
        <w:pStyle w:val="Heading7"/>
        <w:ind w:firstLine="720"/>
        <w:rPr>
          <w:i w:val="0"/>
          <w:u w:val="single"/>
        </w:rPr>
      </w:pPr>
      <w:r>
        <w:rPr>
          <w:i w:val="0"/>
          <w:u w:val="single"/>
        </w:rPr>
        <w:t>Support Staff Hiring Stream</w:t>
      </w:r>
    </w:p>
    <w:p w:rsidR="00527C26" w:rsidRDefault="00700F4E"/>
    <w:p w:rsidR="00527C26" w:rsidRDefault="00700F4E">
      <w:pPr>
        <w:pStyle w:val="BodyTextIndent"/>
        <w:spacing w:line="480" w:lineRule="auto"/>
      </w:pPr>
      <w:r>
        <w:t>The Support Staff Hiring Stream lists by support staff type how many Full time equivalent staff will be hired over the course of the 12 quarters that t</w:t>
      </w:r>
      <w:r>
        <w:t>he model forecasts.  The data is entered into each cell independently based on the user’s preference.</w:t>
      </w:r>
    </w:p>
    <w:p w:rsidR="00527C26" w:rsidRDefault="00700F4E">
      <w:pPr>
        <w:pStyle w:val="Heading7"/>
        <w:spacing w:line="480" w:lineRule="auto"/>
        <w:ind w:firstLine="720"/>
        <w:rPr>
          <w:i w:val="0"/>
          <w:u w:val="single"/>
        </w:rPr>
      </w:pPr>
      <w:r>
        <w:rPr>
          <w:i w:val="0"/>
          <w:u w:val="single"/>
        </w:rPr>
        <w:t>Visits per Session</w:t>
      </w:r>
    </w:p>
    <w:p w:rsidR="00527C26" w:rsidRDefault="00700F4E">
      <w:pPr>
        <w:pStyle w:val="BodyTextIndent"/>
        <w:spacing w:line="480" w:lineRule="auto"/>
      </w:pPr>
      <w:r>
        <w:t>The Visits per Session Stream lists by provider how many patients the provider should be able to see during a 3 ½ hour clinical session</w:t>
      </w:r>
      <w:r>
        <w:t xml:space="preserve">.  The data is entered into each cell independently based on the user’s preference.  The user may also choose to enter visits per session based on a 4-hour session.  </w:t>
      </w:r>
    </w:p>
    <w:p w:rsidR="00527C26" w:rsidRDefault="00700F4E">
      <w:pPr>
        <w:pStyle w:val="BodyTextIndent"/>
        <w:spacing w:line="480" w:lineRule="auto"/>
        <w:rPr>
          <w:u w:val="single"/>
        </w:rPr>
      </w:pPr>
      <w:r>
        <w:rPr>
          <w:u w:val="single"/>
        </w:rPr>
        <w:t>Expense Inflation Rate Stream</w:t>
      </w:r>
    </w:p>
    <w:p w:rsidR="00527C26" w:rsidRDefault="00700F4E">
      <w:pPr>
        <w:pStyle w:val="BodyTextIndent"/>
        <w:spacing w:line="480" w:lineRule="auto"/>
      </w:pPr>
      <w:r>
        <w:t xml:space="preserve">The Expense Inflation Rate Stream allows the user to input </w:t>
      </w:r>
      <w:r>
        <w:t xml:space="preserve">expected inflation of fixed and variable expenses during the 12 quarters of the model.  The Expense Inflation Rate Parameter has been entered into the cells that represent year 2.  In year 3 a formula has been entered to recognize inflation for year 2 and </w:t>
      </w:r>
      <w:r>
        <w:t>3.</w:t>
      </w:r>
    </w:p>
    <w:p w:rsidR="00527C26" w:rsidRDefault="00700F4E">
      <w:pPr>
        <w:pStyle w:val="BodyTextIndent"/>
        <w:spacing w:line="480" w:lineRule="auto"/>
        <w:rPr>
          <w:i/>
        </w:rPr>
      </w:pPr>
    </w:p>
    <w:p w:rsidR="00527C26" w:rsidRDefault="00700F4E">
      <w:pPr>
        <w:pStyle w:val="BodyTextIndent"/>
        <w:spacing w:line="480" w:lineRule="auto"/>
        <w:rPr>
          <w:i/>
        </w:rPr>
      </w:pPr>
    </w:p>
    <w:p w:rsidR="00527C26" w:rsidRDefault="00700F4E">
      <w:pPr>
        <w:pStyle w:val="BodyTextIndent"/>
        <w:spacing w:line="480" w:lineRule="auto"/>
        <w:rPr>
          <w:u w:val="single"/>
        </w:rPr>
      </w:pPr>
      <w:r>
        <w:rPr>
          <w:u w:val="single"/>
        </w:rPr>
        <w:t>Annual Staff Salary Increase Stream</w:t>
      </w:r>
    </w:p>
    <w:p w:rsidR="00527C26" w:rsidRDefault="00700F4E">
      <w:pPr>
        <w:pStyle w:val="BodyTextIndent"/>
        <w:spacing w:line="480" w:lineRule="auto"/>
      </w:pPr>
      <w:r>
        <w:t>The Annual Staff Salary Increase Stream allows the user to input an increase for support staff salaries.  The Annual Staff Salary Increase parameter has been entered into the cells that that represent year 2.  In ye</w:t>
      </w:r>
      <w:r>
        <w:t>ar 3 a formula has been entered to recognize salary increases for year 2 and 3.  The model developers have made the assumptions that all staff will receive a raise at the beginning of each year instead of on the staff person’s anniversary date.</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Support St</w:t>
      </w:r>
      <w:r>
        <w:rPr>
          <w:i/>
          <w:u w:val="none"/>
        </w:rPr>
        <w:t xml:space="preserve">aff Salary </w:t>
      </w:r>
    </w:p>
    <w:p w:rsidR="00527C26" w:rsidRDefault="00700F4E">
      <w:pPr>
        <w:pStyle w:val="Footer"/>
        <w:tabs>
          <w:tab w:val="clear" w:pos="4320"/>
          <w:tab w:val="clear" w:pos="8640"/>
        </w:tabs>
        <w:spacing w:line="480" w:lineRule="auto"/>
        <w:rPr>
          <w:rFonts w:ascii="Times New Roman" w:hAnsi="Times New Roman"/>
        </w:rPr>
      </w:pPr>
      <w:r>
        <w:rPr>
          <w:rFonts w:ascii="Times New Roman" w:hAnsi="Times New Roman"/>
        </w:rPr>
        <w:t>This sheet contains all of the calculations for Support Staff salaries and fringe benefits.  The following is a list of the data blocks and a description of each:</w:t>
      </w:r>
    </w:p>
    <w:p w:rsidR="00527C26" w:rsidRDefault="00700F4E">
      <w:pPr>
        <w:pStyle w:val="Footer"/>
        <w:tabs>
          <w:tab w:val="clear" w:pos="4320"/>
          <w:tab w:val="clear" w:pos="8640"/>
        </w:tabs>
        <w:spacing w:line="480" w:lineRule="auto"/>
        <w:ind w:left="720"/>
        <w:rPr>
          <w:rFonts w:ascii="Times New Roman" w:hAnsi="Times New Roman"/>
          <w:u w:val="single"/>
        </w:rPr>
      </w:pPr>
      <w:r>
        <w:rPr>
          <w:rFonts w:ascii="Times New Roman" w:hAnsi="Times New Roman"/>
          <w:u w:val="single"/>
        </w:rPr>
        <w:t>Cumulative Support Staff Hiring Stream</w:t>
      </w:r>
    </w:p>
    <w:p w:rsidR="00527C26" w:rsidRDefault="00700F4E">
      <w:pPr>
        <w:pStyle w:val="Footer"/>
        <w:tabs>
          <w:tab w:val="clear" w:pos="4320"/>
          <w:tab w:val="clear" w:pos="8640"/>
        </w:tabs>
        <w:spacing w:line="480" w:lineRule="auto"/>
        <w:ind w:left="720"/>
        <w:rPr>
          <w:rFonts w:ascii="Times New Roman" w:hAnsi="Times New Roman"/>
        </w:rPr>
      </w:pPr>
      <w:r>
        <w:rPr>
          <w:rFonts w:ascii="Times New Roman" w:hAnsi="Times New Roman"/>
        </w:rPr>
        <w:t xml:space="preserve">This stream indicates the total number of </w:t>
      </w:r>
      <w:r>
        <w:rPr>
          <w:rFonts w:ascii="Times New Roman" w:hAnsi="Times New Roman"/>
        </w:rPr>
        <w:t>employees in each category for each quarter.</w:t>
      </w:r>
    </w:p>
    <w:p w:rsidR="00527C26" w:rsidRDefault="00700F4E">
      <w:pPr>
        <w:pStyle w:val="Footer"/>
        <w:tabs>
          <w:tab w:val="clear" w:pos="4320"/>
          <w:tab w:val="clear" w:pos="8640"/>
        </w:tabs>
        <w:spacing w:line="480" w:lineRule="auto"/>
        <w:ind w:left="720"/>
        <w:rPr>
          <w:rFonts w:ascii="Times New Roman" w:hAnsi="Times New Roman"/>
          <w:u w:val="single"/>
        </w:rPr>
      </w:pPr>
      <w:r>
        <w:rPr>
          <w:rFonts w:ascii="Times New Roman" w:hAnsi="Times New Roman"/>
          <w:u w:val="single"/>
        </w:rPr>
        <w:t>Hours per Quarter</w:t>
      </w:r>
    </w:p>
    <w:p w:rsidR="00527C26" w:rsidRDefault="00700F4E">
      <w:pPr>
        <w:pStyle w:val="Footer"/>
        <w:tabs>
          <w:tab w:val="clear" w:pos="4320"/>
          <w:tab w:val="clear" w:pos="8640"/>
        </w:tabs>
        <w:spacing w:line="480" w:lineRule="auto"/>
        <w:ind w:left="720"/>
        <w:rPr>
          <w:rFonts w:ascii="Times New Roman" w:hAnsi="Times New Roman"/>
        </w:rPr>
      </w:pPr>
      <w:r>
        <w:rPr>
          <w:rFonts w:ascii="Times New Roman" w:hAnsi="Times New Roman"/>
        </w:rPr>
        <w:t>Hours per Quarter indicate the total number of hours worked by each category of employee in each quarter.</w:t>
      </w:r>
    </w:p>
    <w:p w:rsidR="00527C26" w:rsidRDefault="00700F4E">
      <w:pPr>
        <w:pStyle w:val="Footer"/>
        <w:tabs>
          <w:tab w:val="clear" w:pos="4320"/>
          <w:tab w:val="clear" w:pos="8640"/>
        </w:tabs>
        <w:spacing w:line="480" w:lineRule="auto"/>
        <w:ind w:left="720"/>
        <w:rPr>
          <w:rFonts w:ascii="Times New Roman" w:hAnsi="Times New Roman"/>
          <w:u w:val="single"/>
        </w:rPr>
      </w:pPr>
      <w:r>
        <w:rPr>
          <w:rFonts w:ascii="Times New Roman" w:hAnsi="Times New Roman"/>
          <w:u w:val="single"/>
        </w:rPr>
        <w:t>Salary Per Quarter</w:t>
      </w:r>
    </w:p>
    <w:p w:rsidR="00527C26" w:rsidRDefault="00700F4E">
      <w:pPr>
        <w:pStyle w:val="Footer"/>
        <w:tabs>
          <w:tab w:val="clear" w:pos="4320"/>
          <w:tab w:val="clear" w:pos="8640"/>
        </w:tabs>
        <w:spacing w:line="480" w:lineRule="auto"/>
        <w:ind w:left="720"/>
        <w:rPr>
          <w:rFonts w:ascii="Times New Roman" w:hAnsi="Times New Roman"/>
        </w:rPr>
      </w:pPr>
      <w:r>
        <w:rPr>
          <w:rFonts w:ascii="Times New Roman" w:hAnsi="Times New Roman"/>
        </w:rPr>
        <w:t xml:space="preserve">Salary per Quarter indicates the support salary expense by category </w:t>
      </w:r>
      <w:r>
        <w:rPr>
          <w:rFonts w:ascii="Times New Roman" w:hAnsi="Times New Roman"/>
        </w:rPr>
        <w:t>of employee for each quarter.</w:t>
      </w:r>
    </w:p>
    <w:p w:rsidR="00527C26" w:rsidRDefault="00700F4E">
      <w:pPr>
        <w:pStyle w:val="Footer"/>
        <w:tabs>
          <w:tab w:val="clear" w:pos="4320"/>
          <w:tab w:val="clear" w:pos="8640"/>
        </w:tabs>
        <w:spacing w:line="480" w:lineRule="auto"/>
        <w:ind w:left="720"/>
        <w:rPr>
          <w:rFonts w:ascii="Times New Roman" w:hAnsi="Times New Roman"/>
          <w:u w:val="single"/>
        </w:rPr>
      </w:pPr>
      <w:r>
        <w:rPr>
          <w:rFonts w:ascii="Times New Roman" w:hAnsi="Times New Roman"/>
          <w:u w:val="single"/>
        </w:rPr>
        <w:t>Salary Per Quarter with Annual Increase</w:t>
      </w:r>
    </w:p>
    <w:p w:rsidR="00527C26" w:rsidRDefault="00700F4E">
      <w:pPr>
        <w:pStyle w:val="Footer"/>
        <w:tabs>
          <w:tab w:val="clear" w:pos="4320"/>
          <w:tab w:val="clear" w:pos="8640"/>
        </w:tabs>
        <w:spacing w:line="480" w:lineRule="auto"/>
        <w:ind w:left="720"/>
        <w:rPr>
          <w:rFonts w:ascii="Times New Roman" w:hAnsi="Times New Roman"/>
        </w:rPr>
      </w:pPr>
      <w:r>
        <w:rPr>
          <w:rFonts w:ascii="Times New Roman" w:hAnsi="Times New Roman"/>
        </w:rPr>
        <w:t>This stream includes salary per quarter with an adjustment for annual salary increase.</w:t>
      </w:r>
    </w:p>
    <w:p w:rsidR="00527C26" w:rsidRDefault="00700F4E">
      <w:pPr>
        <w:pStyle w:val="Footer"/>
        <w:tabs>
          <w:tab w:val="clear" w:pos="4320"/>
          <w:tab w:val="clear" w:pos="8640"/>
        </w:tabs>
        <w:spacing w:line="480" w:lineRule="auto"/>
        <w:ind w:left="720"/>
        <w:rPr>
          <w:rFonts w:ascii="Times New Roman" w:hAnsi="Times New Roman"/>
          <w:u w:val="single"/>
        </w:rPr>
      </w:pPr>
      <w:r>
        <w:rPr>
          <w:rFonts w:ascii="Times New Roman" w:hAnsi="Times New Roman"/>
          <w:u w:val="single"/>
        </w:rPr>
        <w:t>Fringe Benefits per Quarter</w:t>
      </w:r>
    </w:p>
    <w:p w:rsidR="00527C26" w:rsidRDefault="00700F4E">
      <w:pPr>
        <w:pStyle w:val="Footer"/>
        <w:tabs>
          <w:tab w:val="clear" w:pos="4320"/>
          <w:tab w:val="clear" w:pos="8640"/>
        </w:tabs>
        <w:spacing w:line="480" w:lineRule="auto"/>
        <w:ind w:left="720"/>
        <w:rPr>
          <w:rFonts w:ascii="Times New Roman" w:hAnsi="Times New Roman"/>
        </w:rPr>
      </w:pPr>
      <w:r>
        <w:rPr>
          <w:rFonts w:ascii="Times New Roman" w:hAnsi="Times New Roman"/>
        </w:rPr>
        <w:t>Fringe Benefits are based on a percentage of the Total Salary Costs.</w:t>
      </w:r>
    </w:p>
    <w:p w:rsidR="00527C26" w:rsidRDefault="00700F4E">
      <w:pPr>
        <w:pStyle w:val="Footer"/>
        <w:tabs>
          <w:tab w:val="clear" w:pos="4320"/>
          <w:tab w:val="clear" w:pos="8640"/>
        </w:tabs>
        <w:spacing w:line="480" w:lineRule="auto"/>
        <w:rPr>
          <w:rFonts w:ascii="Times New Roman" w:hAnsi="Times New Roman"/>
          <w:i/>
        </w:rPr>
      </w:pPr>
      <w:r>
        <w:rPr>
          <w:rFonts w:ascii="Times New Roman" w:hAnsi="Times New Roman"/>
          <w:i/>
        </w:rPr>
        <w:t>Ph</w:t>
      </w:r>
      <w:r>
        <w:rPr>
          <w:rFonts w:ascii="Times New Roman" w:hAnsi="Times New Roman"/>
          <w:i/>
        </w:rPr>
        <w:t>ysician Salaries</w:t>
      </w:r>
    </w:p>
    <w:p w:rsidR="00527C26" w:rsidRDefault="00700F4E">
      <w:pPr>
        <w:pStyle w:val="Footer"/>
        <w:tabs>
          <w:tab w:val="clear" w:pos="4320"/>
          <w:tab w:val="clear" w:pos="8640"/>
        </w:tabs>
        <w:spacing w:line="480" w:lineRule="auto"/>
        <w:rPr>
          <w:rFonts w:ascii="Times New Roman" w:hAnsi="Times New Roman"/>
        </w:rPr>
      </w:pPr>
      <w:r>
        <w:rPr>
          <w:rFonts w:ascii="Times New Roman" w:hAnsi="Times New Roman"/>
        </w:rPr>
        <w:t xml:space="preserve">This sheet shows total physician salary expense including base salary plus incentives.  Base salary for the year is located on the parameter sheet along with the Incentives and their visit caps.  </w:t>
      </w:r>
      <w:r>
        <w:rPr>
          <w:rFonts w:ascii="Times New Roman" w:hAnsi="Times New Roman"/>
          <w:b/>
        </w:rPr>
        <w:t xml:space="preserve">This sheet contains formulas, which should </w:t>
      </w:r>
      <w:r>
        <w:rPr>
          <w:rFonts w:ascii="Times New Roman" w:hAnsi="Times New Roman"/>
          <w:b/>
        </w:rPr>
        <w:t>not be changed.</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Fixed Expenses</w:t>
      </w:r>
    </w:p>
    <w:p w:rsidR="00527C26" w:rsidRDefault="00700F4E">
      <w:pPr>
        <w:pStyle w:val="Footer"/>
        <w:tabs>
          <w:tab w:val="clear" w:pos="4320"/>
          <w:tab w:val="clear" w:pos="8640"/>
        </w:tabs>
        <w:spacing w:line="480" w:lineRule="auto"/>
        <w:rPr>
          <w:rFonts w:ascii="Times New Roman" w:hAnsi="Times New Roman"/>
        </w:rPr>
      </w:pPr>
      <w:r>
        <w:rPr>
          <w:rFonts w:ascii="Times New Roman" w:hAnsi="Times New Roman"/>
        </w:rPr>
        <w:t xml:space="preserve">Fixed expenses for the practice are listed on the parameter sheet.  Fixed expenses have been designated as either monthly or quarterly expenses.  These expenses can be changed independently based on user preference.  </w:t>
      </w:r>
    </w:p>
    <w:p w:rsidR="00527C26" w:rsidRDefault="00700F4E">
      <w:pPr>
        <w:pStyle w:val="Footer"/>
        <w:tabs>
          <w:tab w:val="clear" w:pos="4320"/>
          <w:tab w:val="clear" w:pos="8640"/>
        </w:tabs>
        <w:spacing w:line="480" w:lineRule="auto"/>
        <w:rPr>
          <w:rFonts w:ascii="Times New Roman" w:hAnsi="Times New Roman"/>
          <w:b/>
        </w:rPr>
      </w:pPr>
      <w:r>
        <w:rPr>
          <w:rFonts w:ascii="Times New Roman" w:hAnsi="Times New Roman"/>
        </w:rPr>
        <w:t>This s</w:t>
      </w:r>
      <w:r>
        <w:rPr>
          <w:rFonts w:ascii="Times New Roman" w:hAnsi="Times New Roman"/>
        </w:rPr>
        <w:t xml:space="preserve">heet provides the users with total fixed expenses per quarter including an adjustment for inflation.  Depreciation for the capital investment by quarter is also included.  </w:t>
      </w:r>
      <w:r>
        <w:rPr>
          <w:rFonts w:ascii="Times New Roman" w:hAnsi="Times New Roman"/>
          <w:b/>
        </w:rPr>
        <w:t>The cells in this sheet are all formula driven and should not be changed.</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 xml:space="preserve">Variable </w:t>
      </w:r>
      <w:r>
        <w:rPr>
          <w:i/>
          <w:u w:val="none"/>
        </w:rPr>
        <w:t>Expenses</w:t>
      </w:r>
    </w:p>
    <w:p w:rsidR="00527C26" w:rsidRDefault="00700F4E">
      <w:pPr>
        <w:pStyle w:val="Footer"/>
        <w:tabs>
          <w:tab w:val="clear" w:pos="4320"/>
          <w:tab w:val="clear" w:pos="8640"/>
        </w:tabs>
        <w:spacing w:line="480" w:lineRule="auto"/>
        <w:rPr>
          <w:rFonts w:ascii="Times New Roman" w:hAnsi="Times New Roman"/>
        </w:rPr>
      </w:pPr>
      <w:r>
        <w:rPr>
          <w:rFonts w:ascii="Times New Roman" w:hAnsi="Times New Roman"/>
        </w:rPr>
        <w:t xml:space="preserve">Variable Expense per Visit is listed on the parameter sheet.  Variable expenses in the model are based on volume of patients seen in a quarter.  These expenses can be changed independently based on user preference.  </w:t>
      </w:r>
    </w:p>
    <w:p w:rsidR="00527C26" w:rsidRDefault="00700F4E">
      <w:pPr>
        <w:pStyle w:val="Footer"/>
        <w:tabs>
          <w:tab w:val="clear" w:pos="4320"/>
          <w:tab w:val="clear" w:pos="8640"/>
        </w:tabs>
        <w:spacing w:line="480" w:lineRule="auto"/>
        <w:rPr>
          <w:rFonts w:ascii="Times New Roman" w:hAnsi="Times New Roman"/>
          <w:b/>
        </w:rPr>
      </w:pPr>
      <w:r>
        <w:rPr>
          <w:rFonts w:ascii="Times New Roman" w:hAnsi="Times New Roman"/>
        </w:rPr>
        <w:t xml:space="preserve">This sheet provides the users </w:t>
      </w:r>
      <w:r>
        <w:rPr>
          <w:rFonts w:ascii="Times New Roman" w:hAnsi="Times New Roman"/>
        </w:rPr>
        <w:t xml:space="preserve">with total variable expenses per quarter including an adjustment for inflation.  </w:t>
      </w:r>
      <w:r>
        <w:rPr>
          <w:rFonts w:ascii="Times New Roman" w:hAnsi="Times New Roman"/>
          <w:b/>
        </w:rPr>
        <w:t>The cells in this sheet are all formula driven and should not be changed.</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Visits and Revenue</w:t>
      </w:r>
    </w:p>
    <w:p w:rsidR="00527C26" w:rsidRDefault="00700F4E">
      <w:pPr>
        <w:spacing w:line="480" w:lineRule="auto"/>
        <w:rPr>
          <w:rFonts w:ascii="Times New Roman" w:hAnsi="Times New Roman"/>
        </w:rPr>
      </w:pPr>
      <w:r>
        <w:rPr>
          <w:rFonts w:ascii="Times New Roman" w:hAnsi="Times New Roman"/>
        </w:rPr>
        <w:t>The Visit and Revenue sheet calculates the patient visits each provider is expect</w:t>
      </w:r>
      <w:r>
        <w:rPr>
          <w:rFonts w:ascii="Times New Roman" w:hAnsi="Times New Roman"/>
        </w:rPr>
        <w:t>ed to produce along with the revenue generated by those visits.  Sessions per month is an input block located on the input sheet.  The number of sessions per month is based on two sessions per day for each workday of the month.  Sessions per month is divid</w:t>
      </w:r>
      <w:r>
        <w:rPr>
          <w:rFonts w:ascii="Times New Roman" w:hAnsi="Times New Roman"/>
        </w:rPr>
        <w:t>ed into Full and Part time providers.</w:t>
      </w:r>
    </w:p>
    <w:p w:rsidR="00527C26" w:rsidRDefault="00700F4E">
      <w:pPr>
        <w:spacing w:line="480" w:lineRule="auto"/>
        <w:rPr>
          <w:rFonts w:ascii="Times New Roman" w:hAnsi="Times New Roman"/>
        </w:rPr>
      </w:pPr>
      <w:r>
        <w:rPr>
          <w:rFonts w:ascii="Times New Roman" w:hAnsi="Times New Roman"/>
        </w:rPr>
        <w:t xml:space="preserve">Visits per Session are an input block located on the input sheet.  The number of visits per session is based on physician productivity benchmark data.  AllMed01 is based on two physicians that have different levels of </w:t>
      </w:r>
      <w:r>
        <w:rPr>
          <w:rFonts w:ascii="Times New Roman" w:hAnsi="Times New Roman"/>
        </w:rPr>
        <w:t>productivity over time. Therefore the total visits per quarter are divided into physician one and two and nurse practitioners.</w:t>
      </w:r>
    </w:p>
    <w:p w:rsidR="00527C26" w:rsidRDefault="00700F4E">
      <w:pPr>
        <w:spacing w:line="480" w:lineRule="auto"/>
        <w:rPr>
          <w:rFonts w:ascii="Times New Roman" w:hAnsi="Times New Roman"/>
        </w:rPr>
      </w:pPr>
      <w:r>
        <w:rPr>
          <w:rFonts w:ascii="Times New Roman" w:hAnsi="Times New Roman"/>
        </w:rPr>
        <w:t>This sheet also provides the users with Total Net Revenue per quarter based on volume and net revenue per visit.  Net Revenue per</w:t>
      </w:r>
      <w:r>
        <w:rPr>
          <w:rFonts w:ascii="Times New Roman" w:hAnsi="Times New Roman"/>
        </w:rPr>
        <w:t xml:space="preserve"> Visit is located on the parameter sheet and can be changed based on user preference.</w:t>
      </w:r>
    </w:p>
    <w:p w:rsidR="00527C26" w:rsidRDefault="00700F4E">
      <w:pPr>
        <w:pStyle w:val="Heading6"/>
        <w:spacing w:line="480" w:lineRule="auto"/>
        <w:rPr>
          <w:i/>
          <w:u w:val="none"/>
        </w:rPr>
      </w:pPr>
    </w:p>
    <w:p w:rsidR="00527C26" w:rsidRDefault="00700F4E">
      <w:pPr>
        <w:pStyle w:val="Heading6"/>
        <w:spacing w:line="480" w:lineRule="auto"/>
        <w:rPr>
          <w:i/>
          <w:u w:val="none"/>
        </w:rPr>
      </w:pPr>
      <w:r>
        <w:rPr>
          <w:i/>
          <w:u w:val="none"/>
        </w:rPr>
        <w:t>Profit &amp; Loss</w:t>
      </w:r>
    </w:p>
    <w:p w:rsidR="00527C26" w:rsidRDefault="00700F4E">
      <w:pPr>
        <w:spacing w:line="480" w:lineRule="auto"/>
        <w:rPr>
          <w:rFonts w:ascii="Times New Roman" w:hAnsi="Times New Roman"/>
        </w:rPr>
      </w:pPr>
      <w:r>
        <w:rPr>
          <w:rFonts w:ascii="Times New Roman" w:hAnsi="Times New Roman"/>
        </w:rPr>
        <w:t>The Profit &amp; Loss sheet is the summary sheet for all of the data streams in the model.  The purpose of the Profit and Loss sheet is to see visually the per</w:t>
      </w:r>
      <w:r>
        <w:rPr>
          <w:rFonts w:ascii="Times New Roman" w:hAnsi="Times New Roman"/>
        </w:rPr>
        <w:t>formance of the practice over the 12 quarters that the model is predicting.</w:t>
      </w:r>
    </w:p>
    <w:p w:rsidR="00527C26" w:rsidRDefault="00700F4E">
      <w:pPr>
        <w:spacing w:line="480" w:lineRule="auto"/>
        <w:rPr>
          <w:rFonts w:ascii="Times New Roman" w:hAnsi="Times New Roman"/>
        </w:rPr>
      </w:pPr>
      <w:r>
        <w:rPr>
          <w:rFonts w:ascii="Times New Roman" w:hAnsi="Times New Roman"/>
        </w:rPr>
        <w:t>The Profit and Loss sheet is the holder of the answers for AllMed01.  The data on this sheet is connected to all of the other sheets through the ripple effect.  Changes to any shee</w:t>
      </w:r>
      <w:r>
        <w:rPr>
          <w:rFonts w:ascii="Times New Roman" w:hAnsi="Times New Roman"/>
        </w:rPr>
        <w:t>t will be reflected on the Profit and Loss sheet.</w:t>
      </w:r>
    </w:p>
    <w:sectPr w:rsidR="00527C26">
      <w:headerReference w:type="default" r:id="rId7"/>
      <w:footerReference w:type="even" r:id="rId8"/>
      <w:footerReference w:type="default" r:id="rId9"/>
      <w:pgSz w:w="12240" w:h="15840" w:code="1"/>
      <w:pgMar w:top="1440" w:right="1440" w:bottom="1440" w:left="1440" w:header="720"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0F4E">
      <w:r>
        <w:separator/>
      </w:r>
    </w:p>
  </w:endnote>
  <w:endnote w:type="continuationSeparator" w:id="0">
    <w:p w:rsidR="00000000" w:rsidRDefault="0070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6" w:rsidRDefault="00700F4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27C26" w:rsidRDefault="00700F4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6" w:rsidRDefault="00700F4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7C26" w:rsidRDefault="00700F4E">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0F4E">
      <w:r>
        <w:separator/>
      </w:r>
    </w:p>
  </w:footnote>
  <w:footnote w:type="continuationSeparator" w:id="0">
    <w:p w:rsidR="00000000" w:rsidRDefault="0070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26" w:rsidRDefault="00700F4E">
    <w:pPr>
      <w:pStyle w:val="Header"/>
      <w:rPr>
        <w:rFonts w:ascii="Times New Roman" w:hAnsi="Times New Roman"/>
        <w:sz w:val="20"/>
      </w:rPr>
    </w:pPr>
    <w:r>
      <w:rPr>
        <w:rFonts w:ascii="Times New Roman" w:hAnsi="Times New Roman"/>
        <w:sz w:val="20"/>
      </w:rPr>
      <w:t>AllMed01</w:t>
    </w:r>
  </w:p>
  <w:p w:rsidR="00527C26" w:rsidRDefault="00700F4E">
    <w:pPr>
      <w:pStyle w:val="Head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F61"/>
    <w:multiLevelType w:val="multilevel"/>
    <w:tmpl w:val="0C684416"/>
    <w:lvl w:ilvl="0">
      <w:start w:val="1"/>
      <w:numFmt w:val="upperRoman"/>
      <w:lvlText w:val="%1."/>
      <w:lvlJc w:val="left"/>
      <w:pPr>
        <w:tabs>
          <w:tab w:val="num" w:pos="3240"/>
        </w:tabs>
        <w:ind w:left="2880" w:firstLine="0"/>
      </w:pPr>
    </w:lvl>
    <w:lvl w:ilvl="1">
      <w:start w:val="1"/>
      <w:numFmt w:val="upperLetter"/>
      <w:lvlText w:val="%2."/>
      <w:lvlJc w:val="left"/>
      <w:pPr>
        <w:tabs>
          <w:tab w:val="num" w:pos="3960"/>
        </w:tabs>
        <w:ind w:left="3600" w:firstLine="0"/>
      </w:pPr>
    </w:lvl>
    <w:lvl w:ilvl="2">
      <w:start w:val="1"/>
      <w:numFmt w:val="decimal"/>
      <w:lvlText w:val="%3."/>
      <w:lvlJc w:val="left"/>
      <w:pPr>
        <w:tabs>
          <w:tab w:val="num" w:pos="4680"/>
        </w:tabs>
        <w:ind w:left="4320" w:firstLine="0"/>
      </w:pPr>
    </w:lvl>
    <w:lvl w:ilvl="3">
      <w:start w:val="1"/>
      <w:numFmt w:val="lowerLetter"/>
      <w:lvlText w:val="%4)"/>
      <w:lvlJc w:val="left"/>
      <w:pPr>
        <w:tabs>
          <w:tab w:val="num" w:pos="5400"/>
        </w:tabs>
        <w:ind w:left="5040" w:firstLine="0"/>
      </w:pPr>
    </w:lvl>
    <w:lvl w:ilvl="4">
      <w:start w:val="1"/>
      <w:numFmt w:val="decimal"/>
      <w:pStyle w:val="Heading5"/>
      <w:lvlText w:val="(%5)"/>
      <w:lvlJc w:val="left"/>
      <w:pPr>
        <w:tabs>
          <w:tab w:val="num" w:pos="6120"/>
        </w:tabs>
        <w:ind w:left="5760" w:firstLine="0"/>
      </w:pPr>
    </w:lvl>
    <w:lvl w:ilvl="5">
      <w:start w:val="1"/>
      <w:numFmt w:val="lowerLetter"/>
      <w:lvlText w:val="(%6)"/>
      <w:lvlJc w:val="left"/>
      <w:pPr>
        <w:tabs>
          <w:tab w:val="num" w:pos="6840"/>
        </w:tabs>
        <w:ind w:left="6480" w:firstLine="0"/>
      </w:pPr>
    </w:lvl>
    <w:lvl w:ilvl="6">
      <w:start w:val="1"/>
      <w:numFmt w:val="lowerRoman"/>
      <w:lvlText w:val="(%7)"/>
      <w:lvlJc w:val="left"/>
      <w:pPr>
        <w:tabs>
          <w:tab w:val="num" w:pos="7560"/>
        </w:tabs>
        <w:ind w:left="7200" w:firstLine="0"/>
      </w:pPr>
    </w:lvl>
    <w:lvl w:ilvl="7">
      <w:start w:val="1"/>
      <w:numFmt w:val="lowerLetter"/>
      <w:lvlText w:val="(%8)"/>
      <w:lvlJc w:val="left"/>
      <w:pPr>
        <w:tabs>
          <w:tab w:val="num" w:pos="8280"/>
        </w:tabs>
        <w:ind w:left="7920" w:firstLine="0"/>
      </w:pPr>
    </w:lvl>
    <w:lvl w:ilvl="8">
      <w:start w:val="1"/>
      <w:numFmt w:val="lowerRoman"/>
      <w:lvlText w:val="(%9)"/>
      <w:lvlJc w:val="left"/>
      <w:pPr>
        <w:tabs>
          <w:tab w:val="num" w:pos="9000"/>
        </w:tabs>
        <w:ind w:left="8640" w:firstLine="0"/>
      </w:pPr>
    </w:lvl>
  </w:abstractNum>
  <w:abstractNum w:abstractNumId="1">
    <w:nsid w:val="3A1E4AC5"/>
    <w:multiLevelType w:val="hybridMultilevel"/>
    <w:tmpl w:val="599E8DC4"/>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49A7804"/>
    <w:multiLevelType w:val="multilevel"/>
    <w:tmpl w:val="6BFAF2A6"/>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657B5EF8"/>
    <w:multiLevelType w:val="hybridMultilevel"/>
    <w:tmpl w:val="3390AC16"/>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EDF"/>
    <w:rsid w:val="0070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keepLines/>
      <w:numPr>
        <w:numId w:val="2"/>
      </w:numPr>
      <w:spacing w:after="240"/>
      <w:outlineLvl w:val="0"/>
    </w:pPr>
    <w:rPr>
      <w:caps/>
    </w:rPr>
  </w:style>
  <w:style w:type="paragraph" w:styleId="Heading2">
    <w:name w:val="heading 2"/>
    <w:basedOn w:val="Normal"/>
    <w:next w:val="Normal"/>
    <w:qFormat/>
    <w:pPr>
      <w:keepNext/>
      <w:keepLines/>
      <w:numPr>
        <w:ilvl w:val="1"/>
        <w:numId w:val="2"/>
      </w:numPr>
      <w:spacing w:after="240"/>
      <w:outlineLvl w:val="1"/>
    </w:pPr>
  </w:style>
  <w:style w:type="paragraph" w:styleId="Heading3">
    <w:name w:val="heading 3"/>
    <w:basedOn w:val="Normal"/>
    <w:next w:val="Normal"/>
    <w:qFormat/>
    <w:pPr>
      <w:keepNext/>
      <w:keepLines/>
      <w:numPr>
        <w:ilvl w:val="2"/>
        <w:numId w:val="2"/>
      </w:numPr>
      <w:spacing w:after="240"/>
      <w:outlineLvl w:val="2"/>
    </w:pPr>
  </w:style>
  <w:style w:type="paragraph" w:styleId="Heading4">
    <w:name w:val="heading 4"/>
    <w:basedOn w:val="Normal"/>
    <w:next w:val="Normal"/>
    <w:qFormat/>
    <w:pPr>
      <w:keepNext/>
      <w:keepLines/>
      <w:numPr>
        <w:ilvl w:val="3"/>
        <w:numId w:val="2"/>
      </w:numPr>
      <w:spacing w:after="240"/>
      <w:outlineLvl w:val="3"/>
    </w:pPr>
  </w:style>
  <w:style w:type="paragraph" w:styleId="Heading5">
    <w:name w:val="heading 5"/>
    <w:basedOn w:val="Normal"/>
    <w:next w:val="Normal"/>
    <w:qFormat/>
    <w:pPr>
      <w:keepNext/>
      <w:keepLines/>
      <w:numPr>
        <w:ilvl w:val="4"/>
        <w:numId w:val="1"/>
      </w:numPr>
      <w:spacing w:after="240"/>
      <w:outlineLvl w:val="4"/>
    </w:p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outlineLvl w:val="6"/>
    </w:pPr>
    <w:rPr>
      <w:rFonts w:ascii="Times New Roman" w:hAnsi="Times New Roman"/>
      <w:i/>
      <w:i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pPr>
      <w:keepNext/>
      <w:widowControl w:val="0"/>
      <w:spacing w:before="240" w:after="240"/>
      <w:jc w:val="center"/>
    </w:pPr>
    <w:rPr>
      <w:caps/>
    </w:rPr>
  </w:style>
  <w:style w:type="paragraph" w:styleId="TOC1">
    <w:name w:val="toc 1"/>
    <w:basedOn w:val="Normal"/>
    <w:next w:val="Normal"/>
    <w:autoRedefine/>
    <w:pPr>
      <w:keepNext/>
      <w:keepLines/>
      <w:tabs>
        <w:tab w:val="left" w:pos="720"/>
        <w:tab w:val="right" w:leader="dot" w:pos="9350"/>
      </w:tabs>
      <w:spacing w:after="240"/>
      <w:ind w:left="720" w:right="1152" w:hanging="720"/>
      <w:outlineLvl w:val="0"/>
    </w:pPr>
  </w:style>
  <w:style w:type="paragraph" w:styleId="TOC2">
    <w:name w:val="toc 2"/>
    <w:basedOn w:val="Normal"/>
    <w:next w:val="Normal"/>
    <w:autoRedefine/>
    <w:pPr>
      <w:keepLines/>
      <w:spacing w:after="240"/>
      <w:ind w:left="1440" w:right="1152" w:hanging="720"/>
      <w:outlineLvl w:val="1"/>
    </w:pPr>
  </w:style>
  <w:style w:type="paragraph" w:customStyle="1" w:styleId="Brief1">
    <w:name w:val="Brief1"/>
    <w:basedOn w:val="Heading1"/>
    <w:pPr>
      <w:keepLines w:val="0"/>
      <w:widowControl w:val="0"/>
      <w:numPr>
        <w:numId w:val="0"/>
      </w:numPr>
      <w:jc w:val="center"/>
    </w:pPr>
    <w:rPr>
      <w:caps w:val="0"/>
    </w:rPr>
  </w:style>
  <w:style w:type="paragraph" w:customStyle="1" w:styleId="brief2">
    <w:name w:val="brief2"/>
    <w:basedOn w:val="Heading2"/>
    <w:pPr>
      <w:numPr>
        <w:ilvl w:val="0"/>
        <w:numId w:val="0"/>
      </w:numPr>
      <w:jc w:val="center"/>
    </w:pPr>
  </w:style>
  <w:style w:type="paragraph" w:customStyle="1" w:styleId="brief3">
    <w:name w:val="brief3"/>
    <w:basedOn w:val="Heading3"/>
    <w:autoRedefine/>
    <w:pPr>
      <w:keepNext w:val="0"/>
      <w:numPr>
        <w:ilvl w:val="0"/>
        <w:numId w:val="0"/>
      </w:numPr>
      <w:jc w:val="center"/>
    </w:pPr>
  </w:style>
  <w:style w:type="paragraph" w:styleId="TOC3">
    <w:name w:val="toc 3"/>
    <w:basedOn w:val="Normal"/>
    <w:next w:val="Normal"/>
    <w:autoRedefine/>
    <w:pPr>
      <w:keepLines/>
      <w:spacing w:after="240"/>
      <w:ind w:left="2160" w:right="1152" w:hanging="720"/>
      <w:outlineLvl w:val="2"/>
    </w:pPr>
  </w:style>
  <w:style w:type="paragraph" w:styleId="TableofAuthorities">
    <w:name w:val="table of authorities"/>
    <w:basedOn w:val="Normal"/>
    <w:next w:val="Normal"/>
    <w:pPr>
      <w:keepLines/>
      <w:widowControl w:val="0"/>
      <w:spacing w:after="120"/>
      <w:ind w:left="720" w:right="720" w:hanging="720"/>
    </w:pPr>
  </w:style>
  <w:style w:type="paragraph" w:styleId="TOC4">
    <w:name w:val="toc 4"/>
    <w:basedOn w:val="Normal"/>
    <w:next w:val="Normal"/>
    <w:autoRedefine/>
    <w:pPr>
      <w:keepLines/>
      <w:spacing w:after="240"/>
      <w:ind w:left="2880" w:hanging="720"/>
      <w:outlineLvl w:val="3"/>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6619</Characters>
  <Application>Microsoft Office Word</Application>
  <DocSecurity>0</DocSecurity>
  <Lines>144</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2001-01-13T15:29:00Z</cp:lastPrinted>
  <dcterms:created xsi:type="dcterms:W3CDTF">2012-11-14T20:01:00Z</dcterms:created>
  <dcterms:modified xsi:type="dcterms:W3CDTF">2012-11-14T20:01:00Z</dcterms:modified>
</cp:coreProperties>
</file>