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1A" w:rsidRPr="00397AB3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  <w:lang w:val="en-US" w:eastAsia="en-US" w:bidi="x-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.5pt;margin-top:-45pt;width:434pt;height:90pt;z-index:251657728" fillcolor="yellow">
            <v:textbox style="mso-next-textbox:#_x0000_s1036">
              <w:txbxContent>
                <w:p w:rsidR="002B701A" w:rsidRPr="00FA0178" w:rsidRDefault="00633352" w:rsidP="002B701A">
                  <w:pPr>
                    <w:jc w:val="center"/>
                    <w:rPr>
                      <w:rFonts w:ascii="Verdana" w:hAnsi="Verdana"/>
                      <w:b/>
                      <w:sz w:val="20"/>
                    </w:rPr>
                  </w:pPr>
                  <w:r w:rsidRPr="00FA0178">
                    <w:rPr>
                      <w:rFonts w:ascii="Verdana" w:hAnsi="Verdana"/>
                      <w:b/>
                      <w:sz w:val="20"/>
                    </w:rPr>
                    <w:t>Sample Only</w:t>
                  </w:r>
                </w:p>
                <w:p w:rsidR="002B701A" w:rsidRPr="00FA0178" w:rsidRDefault="00633352">
                  <w:pPr>
                    <w:rPr>
                      <w:rFonts w:ascii="Verdana" w:hAnsi="Verdana"/>
                      <w:sz w:val="20"/>
                    </w:rPr>
                  </w:pPr>
                  <w:r w:rsidRPr="00FA0178">
                    <w:rPr>
                      <w:rFonts w:ascii="Verdana" w:hAnsi="Verdana"/>
                      <w:sz w:val="20"/>
                    </w:rPr>
                    <w:t>This document was submitted by students in a previous class. Their req</w:t>
                  </w:r>
                  <w:r w:rsidRPr="00FA0178">
                    <w:rPr>
                      <w:rFonts w:ascii="Verdana" w:hAnsi="Verdana"/>
                      <w:sz w:val="20"/>
                    </w:rPr>
                    <w:t>uirements were different from yours. We offer it only as a sample of what a project was for that class. Copying this document, in whole or in part, and submitting the result as your own work, would be a violation of the honor code.</w:t>
                  </w:r>
                </w:p>
              </w:txbxContent>
            </v:textbox>
          </v:shape>
        </w:pict>
      </w:r>
    </w:p>
    <w:p w:rsidR="002B701A" w:rsidRPr="00397AB3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B701A" w:rsidRPr="00397AB3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B701A" w:rsidRPr="00397AB3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2B701A" w:rsidRPr="00397AB3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97AB3">
        <w:rPr>
          <w:rFonts w:ascii="Verdana" w:hAnsi="Verdana" w:cs="Arial"/>
          <w:b/>
          <w:bCs/>
          <w:sz w:val="20"/>
          <w:szCs w:val="20"/>
        </w:rPr>
        <w:t>Document Type</w:t>
      </w:r>
      <w:r w:rsidRPr="00397AB3">
        <w:rPr>
          <w:rFonts w:ascii="Verdana" w:hAnsi="Verdana" w:cs="Arial"/>
          <w:sz w:val="20"/>
          <w:szCs w:val="20"/>
        </w:rPr>
        <w:t>: User Guide</w:t>
      </w:r>
    </w:p>
    <w:p w:rsidR="002B701A" w:rsidRPr="00397AB3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97AB3">
        <w:rPr>
          <w:rFonts w:ascii="Verdana" w:hAnsi="Verdana" w:cs="Arial"/>
          <w:b/>
          <w:bCs/>
          <w:sz w:val="20"/>
          <w:szCs w:val="20"/>
        </w:rPr>
        <w:t>Revision Number</w:t>
      </w:r>
      <w:r w:rsidRPr="00397AB3">
        <w:rPr>
          <w:rFonts w:ascii="Verdana" w:hAnsi="Verdana" w:cs="Arial"/>
          <w:sz w:val="20"/>
          <w:szCs w:val="20"/>
        </w:rPr>
        <w:t>: 1.</w:t>
      </w:r>
      <w:r>
        <w:rPr>
          <w:rFonts w:ascii="Verdana" w:hAnsi="Verdana" w:cs="Arial"/>
          <w:sz w:val="20"/>
          <w:szCs w:val="20"/>
        </w:rPr>
        <w:t>3</w:t>
      </w:r>
    </w:p>
    <w:p w:rsidR="002B701A" w:rsidRPr="00397AB3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97AB3">
        <w:rPr>
          <w:rFonts w:ascii="Verdana" w:hAnsi="Verdana" w:cs="Arial"/>
          <w:b/>
          <w:bCs/>
          <w:sz w:val="20"/>
          <w:szCs w:val="20"/>
        </w:rPr>
        <w:t>Project Name</w:t>
      </w:r>
      <w:r w:rsidRPr="00397AB3">
        <w:rPr>
          <w:rFonts w:ascii="Verdana" w:hAnsi="Verdana" w:cs="Arial"/>
          <w:sz w:val="20"/>
          <w:szCs w:val="20"/>
        </w:rPr>
        <w:t>: EZScoot</w:t>
      </w:r>
    </w:p>
    <w:p w:rsidR="002B701A" w:rsidRPr="00397AB3" w:rsidRDefault="00633352" w:rsidP="002B701A">
      <w:pPr>
        <w:pStyle w:val="Heading2"/>
        <w:numPr>
          <w:ilvl w:val="0"/>
          <w:numId w:val="17"/>
        </w:numPr>
        <w:spacing w:before="0"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397AB3">
        <w:rPr>
          <w:rFonts w:ascii="Verdana" w:hAnsi="Verdana"/>
          <w:sz w:val="20"/>
          <w:szCs w:val="20"/>
        </w:rPr>
        <w:t>Location and meaning of input parameters and input streams</w:t>
      </w:r>
    </w:p>
    <w:p w:rsidR="002B701A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input parameters and streams in the model are all located in the Inputs sheet.</w:t>
      </w:r>
    </w:p>
    <w:p w:rsidR="002B701A" w:rsidRPr="000D605D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F20545">
        <w:rPr>
          <w:rFonts w:ascii="Verdana" w:hAnsi="Verdana" w:cs="Arial"/>
          <w:b/>
          <w:bCs/>
          <w:sz w:val="20"/>
          <w:szCs w:val="20"/>
        </w:rPr>
        <w:t>Equipment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5895"/>
      </w:tblGrid>
      <w:tr w:rsidR="002B701A" w:rsidRPr="00C23778">
        <w:tc>
          <w:tcPr>
            <w:tcW w:w="29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Input Name</w:t>
            </w:r>
          </w:p>
        </w:tc>
        <w:tc>
          <w:tcPr>
            <w:tcW w:w="62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29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Sc</w:t>
            </w:r>
            <w:r w:rsidRPr="00C23778">
              <w:rPr>
                <w:rFonts w:ascii="Verdana" w:hAnsi="Verdana" w:cs="Arial"/>
                <w:sz w:val="20"/>
                <w:szCs w:val="20"/>
              </w:rPr>
              <w:t>ooter Cost (purchase of 1-5)</w:t>
            </w:r>
          </w:p>
        </w:tc>
        <w:tc>
          <w:tcPr>
            <w:tcW w:w="62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The unit cost of purchasing a scooter when less than 5 are purchased</w:t>
            </w:r>
          </w:p>
        </w:tc>
      </w:tr>
      <w:tr w:rsidR="002B701A" w:rsidRPr="00C23778">
        <w:tc>
          <w:tcPr>
            <w:tcW w:w="29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Scooter Cost (purchase of 5+)</w:t>
            </w:r>
          </w:p>
        </w:tc>
        <w:tc>
          <w:tcPr>
            <w:tcW w:w="62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The unit cost (which contains a quantity discount) of purchasing a scooter when more than 5 are purchased. </w:t>
            </w:r>
          </w:p>
        </w:tc>
      </w:tr>
      <w:tr w:rsidR="002B701A" w:rsidRPr="00C23778">
        <w:tc>
          <w:tcPr>
            <w:tcW w:w="29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Kiosk Cost (incl i</w:t>
            </w:r>
            <w:r w:rsidRPr="00C23778">
              <w:rPr>
                <w:rFonts w:ascii="Verdana" w:hAnsi="Verdana" w:cs="Arial"/>
                <w:sz w:val="20"/>
                <w:szCs w:val="20"/>
              </w:rPr>
              <w:t>nstallation)</w:t>
            </w:r>
          </w:p>
        </w:tc>
        <w:tc>
          <w:tcPr>
            <w:tcW w:w="62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The cost of buying and installing a kiosk. A kiosk is an office/location where scooters are stored and available for rent</w:t>
            </w:r>
          </w:p>
        </w:tc>
      </w:tr>
      <w:tr w:rsidR="002B701A" w:rsidRPr="00C23778">
        <w:tc>
          <w:tcPr>
            <w:tcW w:w="29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Pick up truck cost</w:t>
            </w:r>
          </w:p>
        </w:tc>
        <w:tc>
          <w:tcPr>
            <w:tcW w:w="62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The cost of buying a pickup truck. Pickup trucks are needed for the logistics of moving scooters arou</w:t>
            </w:r>
            <w:r w:rsidRPr="00C23778">
              <w:rPr>
                <w:rFonts w:ascii="Verdana" w:hAnsi="Verdana" w:cs="Arial"/>
                <w:sz w:val="20"/>
                <w:szCs w:val="20"/>
              </w:rPr>
              <w:t>nd</w:t>
            </w:r>
          </w:p>
        </w:tc>
      </w:tr>
      <w:tr w:rsidR="002B701A" w:rsidRPr="00C23778">
        <w:tc>
          <w:tcPr>
            <w:tcW w:w="29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ScootersPerPickupTruck</w:t>
            </w:r>
          </w:p>
        </w:tc>
        <w:tc>
          <w:tcPr>
            <w:tcW w:w="62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This is the number of scooters whose logistical demand can be met by a pickup truck.</w:t>
            </w:r>
          </w:p>
        </w:tc>
      </w:tr>
      <w:tr w:rsidR="002B701A" w:rsidRPr="00C23778">
        <w:tc>
          <w:tcPr>
            <w:tcW w:w="29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Number of Kiosks</w:t>
            </w:r>
          </w:p>
        </w:tc>
        <w:tc>
          <w:tcPr>
            <w:tcW w:w="62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Number of kiosks</w:t>
            </w:r>
          </w:p>
        </w:tc>
      </w:tr>
      <w:tr w:rsidR="002B701A" w:rsidRPr="00C23778">
        <w:tc>
          <w:tcPr>
            <w:tcW w:w="29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Initial Number Of Pickup Truck</w:t>
            </w:r>
          </w:p>
        </w:tc>
        <w:tc>
          <w:tcPr>
            <w:tcW w:w="62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Initial number of pickup trucks </w:t>
            </w:r>
          </w:p>
        </w:tc>
      </w:tr>
      <w:tr w:rsidR="002B701A" w:rsidRPr="00C23778">
        <w:tc>
          <w:tcPr>
            <w:tcW w:w="29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Depreciation Term</w:t>
            </w:r>
          </w:p>
        </w:tc>
        <w:tc>
          <w:tcPr>
            <w:tcW w:w="62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Time period where scooter</w:t>
            </w:r>
            <w:r w:rsidRPr="00C23778">
              <w:rPr>
                <w:rFonts w:ascii="Verdana" w:hAnsi="Verdana" w:cs="Arial"/>
                <w:sz w:val="20"/>
                <w:szCs w:val="20"/>
              </w:rPr>
              <w:t>s are depreciated. Expressed in quarters</w:t>
            </w:r>
          </w:p>
        </w:tc>
      </w:tr>
      <w:tr w:rsidR="002B701A" w:rsidRPr="00C23778">
        <w:tc>
          <w:tcPr>
            <w:tcW w:w="29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Scooter Sale Price</w:t>
            </w:r>
          </w:p>
        </w:tc>
        <w:tc>
          <w:tcPr>
            <w:tcW w:w="62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When scooter utilization is low, unutilized scooters are sold off periodically to infuse cash into the business. This input represents the average price that the scooter would be sold for </w:t>
            </w:r>
          </w:p>
        </w:tc>
      </w:tr>
    </w:tbl>
    <w:p w:rsidR="002B701A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F20545">
        <w:rPr>
          <w:rFonts w:ascii="Verdana" w:hAnsi="Verdana" w:cs="Arial"/>
          <w:b/>
          <w:bCs/>
          <w:sz w:val="20"/>
          <w:szCs w:val="20"/>
        </w:rPr>
        <w:t>Elect</w:t>
      </w:r>
      <w:r w:rsidRPr="00F20545">
        <w:rPr>
          <w:rFonts w:ascii="Verdana" w:hAnsi="Verdana" w:cs="Arial"/>
          <w:b/>
          <w:bCs/>
          <w:sz w:val="20"/>
          <w:szCs w:val="20"/>
        </w:rPr>
        <w:t>ricity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5587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Electricity Cost Per Mile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Scooters run on electricity. This is the average cost of electricity per mile the scooter is run.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AvgMilesPerRental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Average number of miles driven per rental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Electricity Cost Per Kiosk Per Mont</w:t>
            </w:r>
            <w:r w:rsidRPr="00C23778">
              <w:rPr>
                <w:rFonts w:ascii="Verdana" w:hAnsi="Verdana" w:cs="Arial"/>
                <w:sz w:val="20"/>
                <w:szCs w:val="20"/>
              </w:rPr>
              <w:t>h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Average electricity cost per month for a kiosk</w:t>
            </w:r>
          </w:p>
        </w:tc>
      </w:tr>
    </w:tbl>
    <w:p w:rsidR="002B701A" w:rsidRPr="00F20545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Insurance Costs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5622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Insurance Cost Per Scooter (1-20)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insurance cost per scooter when total number of scooters being insured is 20 or less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Insurance Cost Per Scooter (</w:t>
            </w:r>
            <w:r w:rsidRPr="00C23778">
              <w:rPr>
                <w:rFonts w:ascii="Verdana" w:hAnsi="Verdana" w:cs="Arial"/>
                <w:sz w:val="20"/>
                <w:szCs w:val="20"/>
              </w:rPr>
              <w:t>20+)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insurance cost per scooter when total number of scooters being insured is more than 20. This is used to model a quantity discount for scooter insurance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Insurance Cost Per Kiosk (1-5)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Annual insurance cost per kiosk when total number of </w:t>
            </w:r>
            <w:r w:rsidRPr="00C23778">
              <w:rPr>
                <w:rFonts w:ascii="Verdana" w:hAnsi="Verdana" w:cs="Arial"/>
                <w:sz w:val="20"/>
                <w:szCs w:val="20"/>
              </w:rPr>
              <w:t>kiosks being insured is 5 or less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Insurance Cost Per Kiosk (5+)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insurance cost per kiosk when total number of kiosks being insured is more than 5. This is used to model a quantity discount for kiosk insurance.</w:t>
            </w:r>
          </w:p>
        </w:tc>
      </w:tr>
    </w:tbl>
    <w:p w:rsidR="002B701A" w:rsidRPr="00F20545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Legal Costs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5626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Input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</w:t>
            </w: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Fixed Legal Retainer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 fixed sum of money paid as an annual retainer for legal services</w:t>
            </w:r>
          </w:p>
        </w:tc>
      </w:tr>
    </w:tbl>
    <w:p w:rsidR="002B701A" w:rsidRPr="00F20545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Advertising Section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5553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Advertising Per Kiosk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Advertising cost per kiosk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Upfront Advertising Cost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Cost incurred for the advertising blitz b</w:t>
            </w:r>
            <w:r w:rsidRPr="00C23778">
              <w:rPr>
                <w:rFonts w:ascii="Verdana" w:hAnsi="Verdana" w:cs="Arial"/>
                <w:sz w:val="20"/>
                <w:szCs w:val="20"/>
              </w:rPr>
              <w:t>efore the business is started.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AdvertisingCostIncrease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Extra advertising required to counter bad publicity due to a drop in customer satisfaction. Expressed as a percentage of the preceding quarter’s advertising cost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AdvertisingCostDecrease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Reduction is </w:t>
            </w:r>
            <w:r w:rsidRPr="00C23778">
              <w:rPr>
                <w:rFonts w:ascii="Verdana" w:hAnsi="Verdana" w:cs="Arial"/>
                <w:sz w:val="20"/>
                <w:szCs w:val="20"/>
              </w:rPr>
              <w:t>advertising that takes the advantage of good publicity due to desired level (or greater) of customer satisfaction. Expressed as a percentage of the preceding quarter’s advertising cost.</w:t>
            </w:r>
          </w:p>
        </w:tc>
      </w:tr>
    </w:tbl>
    <w:p w:rsidR="002B701A" w:rsidRPr="00F20545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Capacity Section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5518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DayDuration(hrs)</w:t>
            </w:r>
          </w:p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AvgOverheadTim</w:t>
            </w:r>
            <w:r w:rsidRPr="00C23778">
              <w:rPr>
                <w:rFonts w:ascii="Verdana" w:hAnsi="Verdana" w:cs="Arial"/>
                <w:sz w:val="20"/>
                <w:szCs w:val="20"/>
              </w:rPr>
              <w:t>ePK (hrs)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Number of hours in day that scooters are available to be rented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AvgRentalDuration(hrs)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Average rental duration in hours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AvgOverheadtimeperhire(hrs)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Average overhead time per rental. This includes the time to rent, time to move scooters etc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Sco</w:t>
            </w:r>
            <w:r w:rsidRPr="00C23778">
              <w:rPr>
                <w:rFonts w:ascii="Verdana" w:hAnsi="Verdana" w:cs="Arial"/>
                <w:sz w:val="20"/>
                <w:szCs w:val="20"/>
              </w:rPr>
              <w:t>oterIncrement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Number of scooters to increase by if the demand is not being met at a kiosk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ScooterDecrement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Number of scooters to decrease by if the demand is below scooter capacity at kiosk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QuarterAvgNumDays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Average number of days in a quarter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UnutilCap</w:t>
            </w:r>
            <w:r w:rsidRPr="00C23778">
              <w:rPr>
                <w:rFonts w:ascii="Verdana" w:hAnsi="Verdana" w:cs="Arial"/>
                <w:sz w:val="20"/>
                <w:szCs w:val="20"/>
              </w:rPr>
              <w:t>Thresh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Threshold of unused capacity of scooter rentals where scooters will be reduced. Expressed as a percentage.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AvgOverheadTimePK (hrs)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Average overhead time per kiosk when scooters cannot be rented. This includes time for opening, closing etc.</w:t>
            </w:r>
          </w:p>
        </w:tc>
      </w:tr>
    </w:tbl>
    <w:p w:rsidR="002B701A" w:rsidRPr="00F20545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Financi</w:t>
      </w:r>
      <w:r>
        <w:rPr>
          <w:rFonts w:ascii="Verdana" w:hAnsi="Verdana" w:cs="Arial"/>
          <w:b/>
          <w:bCs/>
          <w:sz w:val="20"/>
          <w:szCs w:val="20"/>
        </w:rPr>
        <w:t xml:space="preserve">al Section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5593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Interest per Qtr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Interest rate input stream for the 12 quarters being modeled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Cash Reserve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Amount of cash required as reserves by the company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IncomeTaxRate</w:t>
            </w:r>
          </w:p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Income tax rate applied to earnings. Expressed as a flat average </w:t>
            </w:r>
            <w:r w:rsidRPr="00C23778">
              <w:rPr>
                <w:rFonts w:ascii="Verdana" w:hAnsi="Verdana" w:cs="Arial"/>
                <w:sz w:val="20"/>
                <w:szCs w:val="20"/>
              </w:rPr>
              <w:t>rate regardless of income being earned.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InitialInvestment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Initial capital investment required to start the business</w:t>
            </w:r>
          </w:p>
        </w:tc>
      </w:tr>
    </w:tbl>
    <w:p w:rsidR="002B701A" w:rsidRPr="00F20545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Financial Section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5593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Interest per Qtr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Interest rate input stream for the 12 quarters being modeled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Cash Reserve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r w:rsidRPr="00C23778">
              <w:rPr>
                <w:rFonts w:ascii="Verdana" w:hAnsi="Verdana" w:cs="Arial"/>
                <w:sz w:val="20"/>
                <w:szCs w:val="20"/>
              </w:rPr>
              <w:t>of cash required as reserves by the company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IncomeTaxRate</w:t>
            </w:r>
          </w:p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Income tax rate applied to earnings. Expressed as a flat average rate regardless of income being earned.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lastRenderedPageBreak/>
              <w:t>InitialInvestment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Initial capital investment required to start the business</w:t>
            </w:r>
          </w:p>
        </w:tc>
      </w:tr>
    </w:tbl>
    <w:p w:rsidR="002B701A" w:rsidRPr="00F20545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Customer Sati</w:t>
      </w:r>
      <w:r>
        <w:rPr>
          <w:rFonts w:ascii="Verdana" w:hAnsi="Verdana" w:cs="Arial"/>
          <w:b/>
          <w:bCs/>
          <w:sz w:val="20"/>
          <w:szCs w:val="20"/>
        </w:rPr>
        <w:t xml:space="preserve">sfaction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5598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AcceptableCSAT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Targeted Customer satisfaction level. </w:t>
            </w:r>
          </w:p>
        </w:tc>
      </w:tr>
    </w:tbl>
    <w:p w:rsidR="002B701A" w:rsidRPr="00F20545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Maintenance Section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11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MgrPerKiosk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Input stream for number of managers required per kiosk per quarter. 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Administrative Staff Per Kiosk</w:t>
            </w:r>
          </w:p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Input stream for</w:t>
            </w:r>
            <w:r w:rsidRPr="00C23778">
              <w:rPr>
                <w:rFonts w:ascii="Verdana" w:hAnsi="Verdana" w:cs="Arial"/>
                <w:sz w:val="20"/>
                <w:szCs w:val="20"/>
              </w:rPr>
              <w:t xml:space="preserve"> number of admin staff required per kiosk per quarter.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Maintenance Personnel Per Scooter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Number of maintenance personnel required per scooter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Spare Parts Inventory Per Scooter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The cost of maintaining spare parts per scooter.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Mgr Cost (1)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c</w:t>
            </w:r>
            <w:r w:rsidRPr="00C23778">
              <w:rPr>
                <w:rFonts w:ascii="Verdana" w:hAnsi="Verdana" w:cs="Arial"/>
                <w:sz w:val="20"/>
                <w:szCs w:val="20"/>
              </w:rPr>
              <w:t>ost to the business of hiring one manager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Administrative Staff Costs(1)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cost  to the business of hiring an administrative employee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Maintenance Personal Cost (1)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Annual cost to the business of hiring one maintenance person</w:t>
            </w:r>
          </w:p>
        </w:tc>
      </w:tr>
    </w:tbl>
    <w:p w:rsidR="002B701A" w:rsidRPr="00F20545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Rental Section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596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</w:t>
            </w: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Rental Volume Projection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Input stream of projected rentals. This is a 5 x 12 array for 5 kiosks over 12 quarters. 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RentalsIncrease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Increase to be made to projected rentals if target customer satisfaction goal is exceeded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RentalsDecreas</w:t>
            </w:r>
            <w:r w:rsidRPr="00C23778"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Decrease to be made to projected rentals if target customer satisfaction goal is not met.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Rental Price (per 0.5 hour)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Price at which a scooter can be rented for a half hour</w:t>
            </w:r>
          </w:p>
        </w:tc>
      </w:tr>
    </w:tbl>
    <w:p w:rsidR="002B701A" w:rsidRPr="00F20545" w:rsidRDefault="00633352" w:rsidP="002B701A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Scooter Demand Projection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5626"/>
      </w:tblGrid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Input Name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33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Scooters Needed</w:t>
            </w:r>
          </w:p>
        </w:tc>
        <w:tc>
          <w:tcPr>
            <w:tcW w:w="586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Input stream of </w:t>
            </w:r>
            <w:r w:rsidRPr="00C23778">
              <w:rPr>
                <w:rFonts w:ascii="Verdana" w:hAnsi="Verdana" w:cs="Arial"/>
                <w:sz w:val="20"/>
                <w:szCs w:val="20"/>
              </w:rPr>
              <w:t xml:space="preserve">estimated number of scooters needed. This is a 5 x 12 array for 5 kiosks over 12 quarters. </w:t>
            </w:r>
          </w:p>
        </w:tc>
      </w:tr>
    </w:tbl>
    <w:p w:rsidR="002B701A" w:rsidRDefault="00633352" w:rsidP="002B701A">
      <w:pPr>
        <w:pStyle w:val="Heading2"/>
        <w:numPr>
          <w:ilvl w:val="0"/>
          <w:numId w:val="17"/>
        </w:numPr>
        <w:spacing w:before="0"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397AB3">
        <w:rPr>
          <w:rFonts w:ascii="Verdana" w:hAnsi="Verdana"/>
          <w:sz w:val="20"/>
          <w:szCs w:val="20"/>
        </w:rPr>
        <w:t>Location and meaning of outputs</w:t>
      </w:r>
    </w:p>
    <w:p w:rsidR="002B701A" w:rsidRPr="003673ED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output streams of the model are all located in the Financial State worksheet.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2B701A" w:rsidRPr="00C23778">
        <w:trPr>
          <w:tblHeader/>
        </w:trPr>
        <w:tc>
          <w:tcPr>
            <w:tcW w:w="15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7740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15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Assets</w:t>
            </w:r>
          </w:p>
        </w:tc>
        <w:tc>
          <w:tcPr>
            <w:tcW w:w="7740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Assets of the business. Th</w:t>
            </w:r>
            <w:r w:rsidRPr="00C23778">
              <w:rPr>
                <w:rFonts w:ascii="Verdana" w:hAnsi="Verdana" w:cs="Arial"/>
                <w:sz w:val="20"/>
                <w:szCs w:val="20"/>
              </w:rPr>
              <w:t>is is an output stream spanning 12 quarters</w:t>
            </w:r>
          </w:p>
        </w:tc>
      </w:tr>
      <w:tr w:rsidR="002B701A" w:rsidRPr="00C23778">
        <w:tc>
          <w:tcPr>
            <w:tcW w:w="15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Liabilities</w:t>
            </w:r>
          </w:p>
        </w:tc>
        <w:tc>
          <w:tcPr>
            <w:tcW w:w="7740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Liabilities of the business. This is an output stream spanning 12 quarters</w:t>
            </w:r>
          </w:p>
        </w:tc>
      </w:tr>
      <w:tr w:rsidR="002B701A" w:rsidRPr="00C23778">
        <w:tc>
          <w:tcPr>
            <w:tcW w:w="15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Equity</w:t>
            </w:r>
          </w:p>
        </w:tc>
        <w:tc>
          <w:tcPr>
            <w:tcW w:w="7740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The net worth of the business. This is an output stream spanning 12 quarters. The business breaks even if the equity</w:t>
            </w:r>
            <w:r w:rsidRPr="00C23778">
              <w:rPr>
                <w:rFonts w:ascii="Verdana" w:hAnsi="Verdana" w:cs="Arial"/>
                <w:sz w:val="20"/>
                <w:szCs w:val="20"/>
              </w:rPr>
              <w:t xml:space="preserve"> exceeds the initial investment.</w:t>
            </w:r>
          </w:p>
        </w:tc>
      </w:tr>
      <w:tr w:rsidR="002B701A" w:rsidRPr="00C23778">
        <w:tc>
          <w:tcPr>
            <w:tcW w:w="15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Total Cash in</w:t>
            </w:r>
          </w:p>
        </w:tc>
        <w:tc>
          <w:tcPr>
            <w:tcW w:w="7740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Total cash flowing into the business in a quarter. This is an output stream spanning 12 quarters</w:t>
            </w:r>
          </w:p>
        </w:tc>
      </w:tr>
      <w:tr w:rsidR="002B701A" w:rsidRPr="00C23778">
        <w:tc>
          <w:tcPr>
            <w:tcW w:w="15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Total Expenses</w:t>
            </w:r>
          </w:p>
        </w:tc>
        <w:tc>
          <w:tcPr>
            <w:tcW w:w="7740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Total expenses in a quarter. This is an output stream spanning 12 quarters</w:t>
            </w:r>
          </w:p>
        </w:tc>
      </w:tr>
      <w:tr w:rsidR="002B701A" w:rsidRPr="00C23778">
        <w:tc>
          <w:tcPr>
            <w:tcW w:w="15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Customer Satisfacti</w:t>
            </w:r>
            <w:r w:rsidRPr="00C23778">
              <w:rPr>
                <w:rFonts w:ascii="Verdana" w:hAnsi="Verdana" w:cs="Arial"/>
                <w:sz w:val="20"/>
                <w:szCs w:val="20"/>
              </w:rPr>
              <w:t>on</w:t>
            </w:r>
          </w:p>
        </w:tc>
        <w:tc>
          <w:tcPr>
            <w:tcW w:w="7740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Customer satisfaction in a quarter. This is an output stream spanning 12 quarters</w:t>
            </w:r>
          </w:p>
        </w:tc>
      </w:tr>
      <w:tr w:rsidR="002B701A" w:rsidRPr="00C23778">
        <w:tc>
          <w:tcPr>
            <w:tcW w:w="15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Adjustment to Rental Vol Proj</w:t>
            </w:r>
          </w:p>
        </w:tc>
        <w:tc>
          <w:tcPr>
            <w:tcW w:w="7740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Shows the adjustments to the initial projections of rental volume based on customer satisfaction. This is an output stream spanning 12 quart</w:t>
            </w:r>
            <w:r w:rsidRPr="00C23778">
              <w:rPr>
                <w:rFonts w:ascii="Verdana" w:hAnsi="Verdana" w:cs="Arial"/>
                <w:sz w:val="20"/>
                <w:szCs w:val="20"/>
              </w:rPr>
              <w:t>ers</w:t>
            </w:r>
          </w:p>
        </w:tc>
      </w:tr>
      <w:tr w:rsidR="002B701A" w:rsidRPr="00C23778">
        <w:tc>
          <w:tcPr>
            <w:tcW w:w="154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Advertising Cost</w:t>
            </w:r>
          </w:p>
        </w:tc>
        <w:tc>
          <w:tcPr>
            <w:tcW w:w="7740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Shows the changes in advertising cost driven by customer satisfaction. This is an output stream spanning 12 quarters</w:t>
            </w:r>
          </w:p>
        </w:tc>
      </w:tr>
    </w:tbl>
    <w:p w:rsidR="002B701A" w:rsidRPr="00397AB3" w:rsidRDefault="00633352" w:rsidP="002B701A">
      <w:pPr>
        <w:pStyle w:val="Heading2"/>
        <w:numPr>
          <w:ilvl w:val="0"/>
          <w:numId w:val="17"/>
        </w:numPr>
        <w:spacing w:before="0"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397AB3">
        <w:rPr>
          <w:rFonts w:ascii="Verdana" w:hAnsi="Verdana"/>
          <w:sz w:val="20"/>
          <w:szCs w:val="20"/>
        </w:rPr>
        <w:t>Guide to visual cues</w:t>
      </w:r>
    </w:p>
    <w:p w:rsidR="002B701A" w:rsidRPr="00397AB3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following coloring conventions are followed in the model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40"/>
      </w:tblGrid>
      <w:tr w:rsidR="002B701A" w:rsidRPr="00397AB3">
        <w:trPr>
          <w:trHeight w:val="323"/>
        </w:trPr>
        <w:tc>
          <w:tcPr>
            <w:tcW w:w="1548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Color Code</w:t>
            </w:r>
          </w:p>
        </w:tc>
        <w:tc>
          <w:tcPr>
            <w:tcW w:w="7740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397AB3">
        <w:tc>
          <w:tcPr>
            <w:tcW w:w="1548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Yellow</w:t>
            </w:r>
          </w:p>
        </w:tc>
        <w:tc>
          <w:tcPr>
            <w:tcW w:w="7740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Used 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visually denote an input parameter or stream</w:t>
            </w:r>
          </w:p>
        </w:tc>
      </w:tr>
      <w:tr w:rsidR="002B701A" w:rsidRPr="00397AB3">
        <w:tc>
          <w:tcPr>
            <w:tcW w:w="1548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Lime</w:t>
            </w:r>
          </w:p>
        </w:tc>
        <w:tc>
          <w:tcPr>
            <w:tcW w:w="7740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Used to visually denote an input parameter or stream that is intended to be changed to accommodate multiple scenarios</w:t>
            </w:r>
          </w:p>
        </w:tc>
      </w:tr>
      <w:tr w:rsidR="002B701A" w:rsidRPr="00397AB3">
        <w:tc>
          <w:tcPr>
            <w:tcW w:w="1548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Light Green</w:t>
            </w:r>
          </w:p>
        </w:tc>
        <w:tc>
          <w:tcPr>
            <w:tcW w:w="7740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Used to visually denote a calculated field</w:t>
            </w:r>
          </w:p>
        </w:tc>
      </w:tr>
      <w:tr w:rsidR="002B701A" w:rsidRPr="00397AB3">
        <w:tc>
          <w:tcPr>
            <w:tcW w:w="1548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Pale Blue</w:t>
            </w:r>
          </w:p>
        </w:tc>
        <w:tc>
          <w:tcPr>
            <w:tcW w:w="7740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Used to visually de</w:t>
            </w:r>
            <w:r>
              <w:rPr>
                <w:rFonts w:ascii="Verdana" w:hAnsi="Verdana" w:cs="Arial"/>
                <w:sz w:val="20"/>
                <w:szCs w:val="20"/>
              </w:rPr>
              <w:t xml:space="preserve">note and emphasize an important calculated field </w:t>
            </w:r>
          </w:p>
        </w:tc>
      </w:tr>
      <w:tr w:rsidR="002B701A" w:rsidRPr="00397AB3">
        <w:tc>
          <w:tcPr>
            <w:tcW w:w="1548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7FDB">
              <w:rPr>
                <w:rFonts w:ascii="Verdana" w:hAnsi="Verdana" w:cs="Arial"/>
                <w:sz w:val="20"/>
                <w:szCs w:val="20"/>
              </w:rPr>
              <w:t xml:space="preserve">Gray </w:t>
            </w:r>
          </w:p>
        </w:tc>
        <w:tc>
          <w:tcPr>
            <w:tcW w:w="7740" w:type="dxa"/>
          </w:tcPr>
          <w:p w:rsidR="002B701A" w:rsidRPr="00397AB3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17FDB">
              <w:rPr>
                <w:rFonts w:ascii="Verdana" w:hAnsi="Verdana" w:cs="Arial"/>
                <w:sz w:val="20"/>
                <w:szCs w:val="20"/>
              </w:rPr>
              <w:t>General background of the workbook. No special meaning</w:t>
            </w:r>
          </w:p>
        </w:tc>
      </w:tr>
      <w:tr w:rsidR="002B701A" w:rsidRPr="00397AB3">
        <w:tc>
          <w:tcPr>
            <w:tcW w:w="1548" w:type="dxa"/>
          </w:tcPr>
          <w:p w:rsidR="002B701A" w:rsidRPr="00A17FDB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White</w:t>
            </w:r>
          </w:p>
        </w:tc>
        <w:tc>
          <w:tcPr>
            <w:tcW w:w="7740" w:type="dxa"/>
          </w:tcPr>
          <w:p w:rsidR="002B701A" w:rsidRPr="00A17FDB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Generally used for titles</w:t>
            </w:r>
          </w:p>
        </w:tc>
      </w:tr>
    </w:tbl>
    <w:p w:rsidR="002B701A" w:rsidRDefault="00633352" w:rsidP="002B701A">
      <w:pPr>
        <w:pStyle w:val="Heading2"/>
        <w:numPr>
          <w:ilvl w:val="0"/>
          <w:numId w:val="17"/>
        </w:numPr>
        <w:spacing w:before="0" w:after="0" w:line="240" w:lineRule="auto"/>
        <w:ind w:left="0" w:firstLine="0"/>
        <w:rPr>
          <w:rFonts w:ascii="Verdana" w:hAnsi="Verdana"/>
          <w:sz w:val="20"/>
          <w:szCs w:val="20"/>
        </w:rPr>
      </w:pPr>
      <w:r w:rsidRPr="00397AB3">
        <w:rPr>
          <w:rFonts w:ascii="Verdana" w:hAnsi="Verdana"/>
          <w:sz w:val="20"/>
          <w:szCs w:val="20"/>
        </w:rPr>
        <w:t>Step by step use of the model</w:t>
      </w:r>
    </w:p>
    <w:p w:rsidR="002B701A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model is primarily used to gauge the feasibility of the business given a spe</w:t>
      </w:r>
      <w:r>
        <w:rPr>
          <w:rFonts w:ascii="Verdana" w:hAnsi="Verdana" w:cs="Arial"/>
          <w:sz w:val="20"/>
          <w:szCs w:val="20"/>
        </w:rPr>
        <w:t xml:space="preserve">cific demand projection and a set of fixed costs. To make adjustments to a scenario (i.e, is the business feasible or not), the following steps can be taken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388"/>
      </w:tblGrid>
      <w:tr w:rsidR="002B701A" w:rsidRPr="00C23778">
        <w:tc>
          <w:tcPr>
            <w:tcW w:w="8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Step </w:t>
            </w:r>
          </w:p>
        </w:tc>
        <w:tc>
          <w:tcPr>
            <w:tcW w:w="83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23778">
              <w:rPr>
                <w:rFonts w:ascii="Verdana" w:hAnsi="Verdana" w:cs="Arial"/>
                <w:b/>
                <w:bCs/>
                <w:sz w:val="20"/>
                <w:szCs w:val="20"/>
              </w:rPr>
              <w:t>Meaning</w:t>
            </w:r>
          </w:p>
        </w:tc>
      </w:tr>
      <w:tr w:rsidR="002B701A" w:rsidRPr="00C23778">
        <w:tc>
          <w:tcPr>
            <w:tcW w:w="8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3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Make a copy of your existing model to make your changes. All the following steps </w:t>
            </w:r>
            <w:r w:rsidRPr="00C23778">
              <w:rPr>
                <w:rFonts w:ascii="Verdana" w:hAnsi="Verdana" w:cs="Arial"/>
                <w:sz w:val="20"/>
                <w:szCs w:val="20"/>
              </w:rPr>
              <w:t>are to be made in the copy</w:t>
            </w:r>
          </w:p>
        </w:tc>
      </w:tr>
      <w:tr w:rsidR="002B701A" w:rsidRPr="00C23778">
        <w:tc>
          <w:tcPr>
            <w:tcW w:w="8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3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Change the initial investment required to start the business (Input Field “InitialInvestment”). A small number here means that the business has to take a larger loan leading to higher interest expenses. This would take it long</w:t>
            </w:r>
            <w:r w:rsidRPr="00C23778">
              <w:rPr>
                <w:rFonts w:ascii="Verdana" w:hAnsi="Verdana" w:cs="Arial"/>
                <w:sz w:val="20"/>
                <w:szCs w:val="20"/>
              </w:rPr>
              <w:t>er for the business to break even</w:t>
            </w:r>
          </w:p>
        </w:tc>
      </w:tr>
      <w:tr w:rsidR="002B701A" w:rsidRPr="00C23778">
        <w:tc>
          <w:tcPr>
            <w:tcW w:w="8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3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Change the interest rates (Input Stream “Interest Per Qtr”). Changing it up would increase interest expense and would affect the time the business breaks even</w:t>
            </w:r>
          </w:p>
        </w:tc>
      </w:tr>
      <w:tr w:rsidR="002B701A" w:rsidRPr="00C23778">
        <w:tc>
          <w:tcPr>
            <w:tcW w:w="8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83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Change the scooters needed projection (Input Stream “Scoo</w:t>
            </w:r>
            <w:r w:rsidRPr="00C23778">
              <w:rPr>
                <w:rFonts w:ascii="Verdana" w:hAnsi="Verdana" w:cs="Arial"/>
                <w:sz w:val="20"/>
                <w:szCs w:val="20"/>
              </w:rPr>
              <w:t>ters Needed”). Changing it down would reduce capital and operating expenses – however, it would also affect the revenues and customer satisfaction level</w:t>
            </w:r>
          </w:p>
        </w:tc>
      </w:tr>
      <w:tr w:rsidR="002B701A" w:rsidRPr="00C23778">
        <w:tc>
          <w:tcPr>
            <w:tcW w:w="8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83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Change the acceptable level of customer satisfaction (Input Field: “Acceptable CSAT”). Investments &amp;</w:t>
            </w:r>
            <w:r w:rsidRPr="00C23778">
              <w:rPr>
                <w:rFonts w:ascii="Verdana" w:hAnsi="Verdana" w:cs="Arial"/>
                <w:sz w:val="20"/>
                <w:szCs w:val="20"/>
              </w:rPr>
              <w:t xml:space="preserve"> projections for the next quarter are scaled up and down in the model based on whether the customer satisfaction is below or above this input</w:t>
            </w:r>
          </w:p>
        </w:tc>
      </w:tr>
      <w:tr w:rsidR="002B701A" w:rsidRPr="00C23778">
        <w:tc>
          <w:tcPr>
            <w:tcW w:w="82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8388" w:type="dxa"/>
          </w:tcPr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Control the changes in investments, costs and projections by changing the following input parameters</w:t>
            </w:r>
          </w:p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 xml:space="preserve">a) Change </w:t>
            </w:r>
            <w:r w:rsidRPr="00C23778">
              <w:rPr>
                <w:rFonts w:ascii="Verdana" w:hAnsi="Verdana" w:cs="Arial"/>
                <w:sz w:val="20"/>
                <w:szCs w:val="20"/>
              </w:rPr>
              <w:t>“ScooterIncrement” and “ScooterDecrement” to control the number of scooters bought, sold and maintained in the next quarter</w:t>
            </w:r>
          </w:p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b) Change “RentalsIncrease” and “RentalDecrease” to control the volume projections fro the next quarter</w:t>
            </w:r>
          </w:p>
          <w:p w:rsidR="002B701A" w:rsidRPr="00C23778" w:rsidRDefault="00633352" w:rsidP="002B701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C23778">
              <w:rPr>
                <w:rFonts w:ascii="Verdana" w:hAnsi="Verdana" w:cs="Arial"/>
                <w:sz w:val="20"/>
                <w:szCs w:val="20"/>
              </w:rPr>
              <w:t>d) Change “AdvertisingCostIn</w:t>
            </w:r>
            <w:r w:rsidRPr="00C23778">
              <w:rPr>
                <w:rFonts w:ascii="Verdana" w:hAnsi="Verdana" w:cs="Arial"/>
                <w:sz w:val="20"/>
                <w:szCs w:val="20"/>
              </w:rPr>
              <w:t>crease” and “AdvertisingCostDecrease” to control the amount of extra spend or extra savings for the next quarter</w:t>
            </w:r>
          </w:p>
        </w:tc>
      </w:tr>
    </w:tbl>
    <w:p w:rsidR="002B701A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move from a positive scenario i.e., one where the business breaks even to a negative scenario, the primary lever is the scooters needed pro</w:t>
      </w:r>
      <w:r>
        <w:rPr>
          <w:rFonts w:ascii="Verdana" w:hAnsi="Verdana" w:cs="Arial"/>
          <w:sz w:val="20"/>
          <w:szCs w:val="20"/>
        </w:rPr>
        <w:t xml:space="preserve">jection. Adjust this downward until the loss in revenue becomes greater than the savings in expenditure. This will take the business to a negative situation. </w:t>
      </w:r>
    </w:p>
    <w:p w:rsidR="002B701A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To counter this, increase the savings in expenditure, aggressively drop the acceptable level of c</w:t>
      </w:r>
      <w:r>
        <w:rPr>
          <w:rFonts w:ascii="Verdana" w:hAnsi="Verdana" w:cs="Arial"/>
          <w:sz w:val="20"/>
          <w:szCs w:val="20"/>
        </w:rPr>
        <w:t>ustomer satisfaction and additional investments in response to customer satisfaction. This will start moving the business back to a positive situation</w:t>
      </w:r>
    </w:p>
    <w:p w:rsidR="002B701A" w:rsidRPr="00BC3CB0" w:rsidRDefault="00633352" w:rsidP="002B701A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the scooters drop is resumed, at a certain level, the fixed costs of the business kick in. From this p</w:t>
      </w:r>
      <w:r>
        <w:rPr>
          <w:rFonts w:ascii="Verdana" w:hAnsi="Verdana" w:cs="Arial"/>
          <w:sz w:val="20"/>
          <w:szCs w:val="20"/>
        </w:rPr>
        <w:t>oint on, further reductions in scooters will increase the losses suffered by the business.</w:t>
      </w:r>
    </w:p>
    <w:sectPr w:rsidR="002B701A" w:rsidRPr="00BC3CB0" w:rsidSect="002B701A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1A" w:rsidRDefault="00633352">
      <w:pPr>
        <w:spacing w:after="0" w:line="240" w:lineRule="auto"/>
      </w:pPr>
      <w:r>
        <w:separator/>
      </w:r>
    </w:p>
  </w:endnote>
  <w:endnote w:type="continuationSeparator" w:id="0">
    <w:p w:rsidR="002B701A" w:rsidRDefault="0063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1A" w:rsidRDefault="00633352">
      <w:pPr>
        <w:spacing w:after="0" w:line="240" w:lineRule="auto"/>
      </w:pPr>
      <w:r>
        <w:separator/>
      </w:r>
    </w:p>
  </w:footnote>
  <w:footnote w:type="continuationSeparator" w:id="0">
    <w:p w:rsidR="002B701A" w:rsidRDefault="0063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1A" w:rsidRPr="00892C50" w:rsidRDefault="00633352" w:rsidP="002B701A">
    <w:pPr>
      <w:pStyle w:val="Header"/>
      <w:rPr>
        <w:rFonts w:ascii="Verdana" w:hAnsi="Verdana"/>
        <w:sz w:val="20"/>
        <w:szCs w:val="20"/>
      </w:rPr>
    </w:pPr>
    <w:r w:rsidRPr="00892C50">
      <w:rPr>
        <w:rFonts w:ascii="Verdana" w:hAnsi="Verdana"/>
        <w:sz w:val="20"/>
        <w:szCs w:val="20"/>
      </w:rPr>
      <w:t>EZScoot</w:t>
    </w:r>
    <w:r>
      <w:rPr>
        <w:rFonts w:ascii="Verdana" w:hAnsi="Verdana"/>
        <w:sz w:val="20"/>
        <w:szCs w:val="20"/>
      </w:rPr>
      <w:t>: User Guide</w:t>
    </w:r>
    <w:r w:rsidRPr="00892C50">
      <w:rPr>
        <w:rFonts w:ascii="Verdana" w:hAnsi="Verdana"/>
        <w:sz w:val="20"/>
        <w:szCs w:val="20"/>
      </w:rPr>
      <w:tab/>
      <w:t xml:space="preserve">Page </w:t>
    </w:r>
    <w:r w:rsidRPr="00892C50">
      <w:rPr>
        <w:rFonts w:ascii="Verdana" w:hAnsi="Verdana"/>
        <w:sz w:val="20"/>
        <w:szCs w:val="20"/>
      </w:rPr>
      <w:fldChar w:fldCharType="begin"/>
    </w:r>
    <w:r w:rsidRPr="00892C50">
      <w:rPr>
        <w:rFonts w:ascii="Verdana" w:hAnsi="Verdana"/>
        <w:sz w:val="20"/>
        <w:szCs w:val="20"/>
      </w:rPr>
      <w:instrText xml:space="preserve"> PAGE </w:instrText>
    </w:r>
    <w:r w:rsidRPr="00892C50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2</w:t>
    </w:r>
    <w:r w:rsidRPr="00892C50">
      <w:rPr>
        <w:rFonts w:ascii="Verdana" w:hAnsi="Verdana"/>
        <w:sz w:val="20"/>
        <w:szCs w:val="20"/>
      </w:rPr>
      <w:fldChar w:fldCharType="end"/>
    </w:r>
    <w:r w:rsidRPr="00892C50">
      <w:rPr>
        <w:rFonts w:ascii="Verdana" w:hAnsi="Verdana"/>
        <w:sz w:val="20"/>
        <w:szCs w:val="20"/>
      </w:rPr>
      <w:t xml:space="preserve"> of </w:t>
    </w:r>
    <w:r w:rsidRPr="00892C50">
      <w:rPr>
        <w:rFonts w:ascii="Verdana" w:hAnsi="Verdana"/>
        <w:sz w:val="20"/>
        <w:szCs w:val="20"/>
      </w:rPr>
      <w:fldChar w:fldCharType="begin"/>
    </w:r>
    <w:r w:rsidRPr="00892C50">
      <w:rPr>
        <w:rFonts w:ascii="Verdana" w:hAnsi="Verdana"/>
        <w:sz w:val="20"/>
        <w:szCs w:val="20"/>
      </w:rPr>
      <w:instrText xml:space="preserve"> NUMPAGES </w:instrText>
    </w:r>
    <w:r w:rsidRPr="00892C50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2</w:t>
    </w:r>
    <w:r w:rsidRPr="00892C50">
      <w:rPr>
        <w:rFonts w:ascii="Verdana" w:hAnsi="Verdana"/>
        <w:sz w:val="20"/>
        <w:szCs w:val="20"/>
      </w:rPr>
      <w:fldChar w:fldCharType="end"/>
    </w:r>
    <w:r>
      <w:rPr>
        <w:rFonts w:ascii="Verdana" w:hAnsi="Verdana"/>
        <w:sz w:val="20"/>
        <w:szCs w:val="20"/>
      </w:rPr>
      <w:tab/>
      <w:t>Revision 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D8D4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BA2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3C7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54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063D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67F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3442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76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D6B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F03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C0996"/>
    <w:multiLevelType w:val="hybridMultilevel"/>
    <w:tmpl w:val="7BAA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D71FE"/>
    <w:multiLevelType w:val="hybridMultilevel"/>
    <w:tmpl w:val="F8C40F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8051C6"/>
    <w:multiLevelType w:val="hybridMultilevel"/>
    <w:tmpl w:val="CE3439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Verdana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E74DEA"/>
    <w:multiLevelType w:val="hybridMultilevel"/>
    <w:tmpl w:val="52144C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34084"/>
    <w:multiLevelType w:val="hybridMultilevel"/>
    <w:tmpl w:val="EBFCC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E783D"/>
    <w:multiLevelType w:val="hybridMultilevel"/>
    <w:tmpl w:val="639A6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4574E"/>
    <w:multiLevelType w:val="hybridMultilevel"/>
    <w:tmpl w:val="64266B20"/>
    <w:lvl w:ilvl="0" w:tplc="D5FCB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B54B2"/>
    <w:multiLevelType w:val="hybridMultilevel"/>
    <w:tmpl w:val="A806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E5751"/>
    <w:multiLevelType w:val="hybridMultilevel"/>
    <w:tmpl w:val="4D94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8483B"/>
    <w:multiLevelType w:val="hybridMultilevel"/>
    <w:tmpl w:val="9FDC37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6666E"/>
    <w:multiLevelType w:val="hybridMultilevel"/>
    <w:tmpl w:val="B0BCB3A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DC41EBB"/>
    <w:multiLevelType w:val="hybridMultilevel"/>
    <w:tmpl w:val="6A3CE8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1"/>
  </w:num>
  <w:num w:numId="20">
    <w:abstractNumId w:val="19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465"/>
    <w:rsid w:val="0063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1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4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4F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F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F4F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24DBB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24DBB"/>
    <w:rPr>
      <w:rFonts w:ascii="Arial" w:eastAsia="Calibri" w:hAnsi="Arial" w:cs="Arial"/>
      <w:b/>
      <w:bCs/>
      <w:i/>
      <w:iCs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133A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47702E"/>
    <w:rPr>
      <w:sz w:val="16"/>
      <w:szCs w:val="16"/>
    </w:rPr>
  </w:style>
  <w:style w:type="paragraph" w:styleId="CommentText">
    <w:name w:val="annotation text"/>
    <w:basedOn w:val="Normal"/>
    <w:semiHidden/>
    <w:rsid w:val="004770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702E"/>
    <w:rPr>
      <w:b/>
      <w:bCs/>
    </w:rPr>
  </w:style>
  <w:style w:type="paragraph" w:styleId="BalloonText">
    <w:name w:val="Balloon Text"/>
    <w:basedOn w:val="Normal"/>
    <w:semiHidden/>
    <w:rsid w:val="00477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A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Brenner</dc:creator>
  <cp:keywords/>
  <cp:lastModifiedBy>Richard Brenner</cp:lastModifiedBy>
  <cp:revision>2</cp:revision>
  <dcterms:created xsi:type="dcterms:W3CDTF">2012-11-14T20:01:00Z</dcterms:created>
  <dcterms:modified xsi:type="dcterms:W3CDTF">2012-11-14T20:01:00Z</dcterms:modified>
</cp:coreProperties>
</file>