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5D" w:rsidRDefault="00687B1F">
      <w:pPr>
        <w:pStyle w:val="Header"/>
        <w:tabs>
          <w:tab w:val="clear" w:pos="4320"/>
          <w:tab w:val="clear" w:pos="8640"/>
        </w:tabs>
        <w:outlineLvl w:val="0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0.4pt;margin-top:-13.4pt;width:306pt;height:93pt;z-index:251657728" fillcolor="yellow">
            <v:textbox style="mso-next-textbox:#_x0000_s1029">
              <w:txbxContent>
                <w:p w:rsidR="005C385D" w:rsidRPr="006A1598" w:rsidRDefault="00687B1F" w:rsidP="005C385D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A1598">
                    <w:rPr>
                      <w:rFonts w:ascii="Verdana" w:hAnsi="Verdana"/>
                      <w:b/>
                    </w:rPr>
                    <w:t>Sample Only</w:t>
                  </w:r>
                </w:p>
                <w:p w:rsidR="005C385D" w:rsidRPr="006A1598" w:rsidRDefault="00687B1F">
                  <w:pPr>
                    <w:rPr>
                      <w:rFonts w:ascii="Verdana" w:hAnsi="Verdana"/>
                    </w:rPr>
                  </w:pPr>
                  <w:r w:rsidRPr="006A1598">
                    <w:rPr>
                      <w:rFonts w:ascii="Verdana" w:hAnsi="Verdana"/>
                    </w:rPr>
                    <w:t>This document was submitted by students in a previous class. Their requirements were different from yours. We offer it only as a sample of wh</w:t>
                  </w:r>
                  <w:r w:rsidRPr="006A1598">
                    <w:rPr>
                      <w:rFonts w:ascii="Verdana" w:hAnsi="Verdana"/>
                    </w:rPr>
                    <w:t>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</w:rPr>
        <w:t>RAStaff</w:t>
      </w:r>
    </w:p>
    <w:p w:rsidR="005C385D" w:rsidRDefault="00687B1F">
      <w:pPr>
        <w:pStyle w:val="Title"/>
        <w:spacing w:line="160" w:lineRule="atLeast"/>
        <w:jc w:val="left"/>
        <w:rPr>
          <w:b w:val="0"/>
          <w:sz w:val="20"/>
          <w:u w:val="none"/>
        </w:rPr>
      </w:pPr>
      <w:r>
        <w:rPr>
          <w:sz w:val="20"/>
          <w:u w:val="none"/>
        </w:rPr>
        <w:t>&lt;deleted&gt;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Overview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The team project (named “RAStaff”) will be about a human resources question at a local university where one of the team members works.  The model would be aimed at two groups of users: the department that hires/manages rese</w:t>
      </w:r>
      <w:r>
        <w:rPr>
          <w:rFonts w:ascii="Palatino Linotype" w:hAnsi="Palatino Linotype"/>
        </w:rPr>
        <w:t>arch staff and higher-level University administrators involved in financial planning of research activities.  The model will help the University with quantifying factors in long-term research staff planning / hiring, in pricing the true cost of turnover/le</w:t>
      </w:r>
      <w:r>
        <w:rPr>
          <w:rFonts w:ascii="Palatino Linotype" w:hAnsi="Palatino Linotype"/>
        </w:rPr>
        <w:t xml:space="preserve">arning, and deciding on any alternatives to the current employment system.  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Background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The University employs a large number of research assistants (“RAs”), who support the research and teaching activities of the professors.  Most of the RAs are employed</w:t>
      </w:r>
      <w:r>
        <w:rPr>
          <w:rFonts w:ascii="Palatino Linotype" w:hAnsi="Palatino Linotype"/>
        </w:rPr>
        <w:t xml:space="preserve"> on an academic appointments (contracts) usually 12 months long, starting in July and ending in June.  These are professional salaried, benefits-eligible positions that are overtime- exempt; the RAs are appointed to work with one or more faculty members fo</w:t>
      </w:r>
      <w:r>
        <w:rPr>
          <w:rFonts w:ascii="Palatino Linotype" w:hAnsi="Palatino Linotype"/>
        </w:rPr>
        <w:t>r a maximum of a year at a time, because research funding is allocated annually.  A typical RA might have a full-time position but two faculty supervisors (i.e., a half-time appointments with each professor), though some regular RAs work half-time.  Most R</w:t>
      </w:r>
      <w:r>
        <w:rPr>
          <w:rFonts w:ascii="Palatino Linotype" w:hAnsi="Palatino Linotype"/>
        </w:rPr>
        <w:t>As receive office space on campus; some telecommute.  At present, RAs are hired based on individual faculty requests, not on an overall staff research capacity.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b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The diversity of the RA pool makes them a challenging group of employees to recruit, train, ma</w:t>
      </w:r>
      <w:r>
        <w:rPr>
          <w:rFonts w:ascii="Palatino Linotype" w:hAnsi="Palatino Linotype"/>
        </w:rPr>
        <w:t>nage and retain. Regular RAs have many different degrees/work experience (from BA to MBA to PhD/JD/MD) and work on a wide variety of faculty projects that require different types of skills (writing course materials or books; conducting field interviews; st</w:t>
      </w:r>
      <w:r>
        <w:rPr>
          <w:rFonts w:ascii="Palatino Linotype" w:hAnsi="Palatino Linotype"/>
        </w:rPr>
        <w:t>atistical analysis; websites).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Despite the fact that RAs who have been at the University for several years generally</w:t>
      </w:r>
      <w:r>
        <w:rPr>
          <w:rStyle w:val="FootnoteReference"/>
          <w:rFonts w:ascii="Palatino Linotype" w:hAnsi="Palatino Linotype"/>
        </w:rPr>
        <w:footnoteReference w:id="1"/>
      </w:r>
      <w:r>
        <w:rPr>
          <w:rFonts w:ascii="Palatino Linotype" w:hAnsi="Palatino Linotype"/>
        </w:rPr>
        <w:t xml:space="preserve"> produce more and / or better quality work, the structure of the employment system creates an ongoing turnover issue.  Regular RA appointm</w:t>
      </w:r>
      <w:r>
        <w:rPr>
          <w:rFonts w:ascii="Palatino Linotype" w:hAnsi="Palatino Linotype"/>
        </w:rPr>
        <w:t>ents may be renewed beyond the initial year, depending on a number of factors, so some regular RAs want to and do work at the University for several years.  Because it is not a permanent staff position, however, most regular RAs tend to leave their RA posi</w:t>
      </w:r>
      <w:r>
        <w:rPr>
          <w:rFonts w:ascii="Palatino Linotype" w:hAnsi="Palatino Linotype"/>
        </w:rPr>
        <w:t>tions by their third employment year as an RA.   The high RA turnover has various economic costs to the University (admin time for recruiting/training, allocated office space, etc.) which are not fully charged to faculty research budgets.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Model Function a</w:t>
      </w:r>
      <w:r>
        <w:rPr>
          <w:rFonts w:ascii="Palatino Linotype" w:hAnsi="Palatino Linotype"/>
          <w:b/>
        </w:rPr>
        <w:t>nd Design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The model will help determine the ideal level of RA staffing for the University by research product, based on the quantity of annual research publications of the University and a certain level of output of an ideal RA (numbers of books, databases</w:t>
      </w:r>
      <w:r>
        <w:rPr>
          <w:rFonts w:ascii="Palatino Linotype" w:hAnsi="Palatino Linotype"/>
        </w:rPr>
        <w:t xml:space="preserve">).  Because educational background influences productivity, turnover, skill level of an RA job description, and salary, it will also be factored in.  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9 Named Input Parameters</w:t>
      </w:r>
      <w:r>
        <w:rPr>
          <w:rFonts w:ascii="Palatino Linotype" w:hAnsi="Palatino Linotype"/>
        </w:rPr>
        <w:t xml:space="preserve"> (Fixed Assumptions)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-Number of university faculty (by tenure level)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-Average fa</w:t>
      </w:r>
      <w:r>
        <w:rPr>
          <w:rFonts w:ascii="Palatino Linotype" w:hAnsi="Palatino Linotype"/>
        </w:rPr>
        <w:t>culty publication output (by tenure level and publication type)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 Quantity of research a fully productive RA can produce (by publication type)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-Ratio of RAs needed by educational level (by publication type)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-Percentage of capacity met by other centralized </w:t>
      </w:r>
      <w:r>
        <w:rPr>
          <w:rFonts w:ascii="Palatino Linotype" w:hAnsi="Palatino Linotype"/>
        </w:rPr>
        <w:t>research services on campus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-Starting number of RAs on staff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-RA salary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-RA benefits costs 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-RA overhead costs (recruiting/training, office space)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24 Variable Input Data Streams (over 12 quarters)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-RA productivity curve  (can produce increasing % of outpu</w:t>
      </w:r>
      <w:r>
        <w:rPr>
          <w:rFonts w:ascii="Palatino Linotype" w:hAnsi="Palatino Linotype"/>
        </w:rPr>
        <w:t>t the longer stay)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-Number of RAs leaving University  (there is a seasonality to this at certain times of year) 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(Both categories will be split out by 4 research product types: articles, books, field research, analysis  and 3 degree types: BA, MBA, and PhD</w:t>
      </w:r>
      <w:r>
        <w:rPr>
          <w:rFonts w:ascii="Palatino Linotype" w:hAnsi="Palatino Linotype"/>
        </w:rPr>
        <w:t>, so there will be 12 streams for each category)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26 Output Data Streams (over 12 quarters)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-Total needed research staff capacity (full time equivalents of article writers, etc.): (Will be split out into 12 streams: 4 research product types: papers, books,</w:t>
      </w:r>
      <w:r>
        <w:rPr>
          <w:rFonts w:ascii="Palatino Linotype" w:hAnsi="Palatino Linotype"/>
        </w:rPr>
        <w:t xml:space="preserve"> field research, analysis  and 3 degree types: BA, MBA, and PhD in each)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-Number of new RAs to hire (per quarter per year): (Will be split out into 12 streams: 4 research product types: papers, books, field research, analysis and 3 degree types: BA, MBA, a</w:t>
      </w:r>
      <w:r>
        <w:rPr>
          <w:rFonts w:ascii="Palatino Linotype" w:hAnsi="Palatino Linotype"/>
        </w:rPr>
        <w:t>nd PhD in each)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-Total cost that is charged to faculty for staff pool (salaries)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-Total economic cost to University for staff pool (including overhead)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Scenario 1: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This will look at current staff situation (high turnover, low productivity).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Scenario 2: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his will look at what happens if can lower turnover, increase productivity.  </w:t>
      </w:r>
    </w:p>
    <w:p w:rsidR="005C385D" w:rsidRDefault="00687B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  <w:r>
        <w:rPr>
          <w:rFonts w:ascii="Palatino Linotype" w:hAnsi="Palatino Linotype"/>
          <w:b/>
        </w:rPr>
        <w:lastRenderedPageBreak/>
        <w:t>Budget</w:t>
      </w:r>
      <w:r>
        <w:rPr>
          <w:rFonts w:ascii="Palatino Linotype" w:hAnsi="Palatino Linotype"/>
        </w:rPr>
        <w:t xml:space="preserve"> (Hours)</w:t>
      </w:r>
    </w:p>
    <w:p w:rsidR="005C385D" w:rsidRDefault="00687B1F">
      <w:pPr>
        <w:pStyle w:val="Header"/>
        <w:tabs>
          <w:tab w:val="clear" w:pos="4320"/>
          <w:tab w:val="clear" w:pos="86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6pt;height:199.8pt" o:allowoverlap="f">
            <v:imagedata r:id="rId7" r:pict="rId8" o:title=""/>
          </v:shape>
        </w:pict>
      </w:r>
    </w:p>
    <w:p w:rsidR="005C385D" w:rsidRDefault="00687B1F">
      <w:pPr>
        <w:pStyle w:val="Header"/>
        <w:tabs>
          <w:tab w:val="clear" w:pos="4320"/>
          <w:tab w:val="clear" w:pos="8640"/>
        </w:tabs>
      </w:pPr>
    </w:p>
    <w:p w:rsidR="005C385D" w:rsidRDefault="00687B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Team </w:t>
      </w:r>
      <w:r>
        <w:t>The RAStaff project team will have four members: &lt;deleted&gt;</w:t>
      </w:r>
    </w:p>
    <w:p w:rsidR="005C385D" w:rsidRDefault="00687B1F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</w:rPr>
      </w:pPr>
    </w:p>
    <w:p w:rsidR="005C385D" w:rsidRDefault="00687B1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Schedule and Milestones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083"/>
        <w:gridCol w:w="1460"/>
        <w:gridCol w:w="1846"/>
        <w:gridCol w:w="1975"/>
      </w:tblGrid>
      <w:tr w:rsidR="005C385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WEEK 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DATE (DEADLINE) 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CLASS SESSION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DELIVERABLE</w:t>
            </w:r>
          </w:p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(CLASS)</w:t>
            </w: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DELIVERABLE</w:t>
            </w:r>
            <w:r>
              <w:rPr>
                <w:rFonts w:ascii="Palatino Linotype" w:hAnsi="Palatino Linotype"/>
                <w:b/>
              </w:rPr>
              <w:br/>
              <w:t>(</w:t>
            </w:r>
            <w:r>
              <w:rPr>
                <w:rFonts w:ascii="Palatino Linotype" w:hAnsi="Palatino Linotype"/>
                <w:b/>
              </w:rPr>
              <w:t>INTERNAL)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1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Oct 23 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5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PROJECT PROPOSAL</w:t>
            </w: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Allocate team roles Define formulas; Model capacity 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2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Oct 30 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7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Model productivity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3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Nov 6  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8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Model costs;  write progress report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4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Nov 13  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9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PROGRESS REPOR</w:t>
            </w:r>
            <w:r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Refine total model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5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Nov 20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10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Generate charts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  <w:shd w:val="clear" w:color="auto" w:fill="CCCCCC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6</w:t>
            </w:r>
          </w:p>
        </w:tc>
        <w:tc>
          <w:tcPr>
            <w:tcW w:w="2083" w:type="dxa"/>
            <w:shd w:val="clear" w:color="auto" w:fill="CCCCCC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Nov 27</w:t>
            </w:r>
          </w:p>
        </w:tc>
        <w:tc>
          <w:tcPr>
            <w:tcW w:w="1460" w:type="dxa"/>
            <w:shd w:val="clear" w:color="auto" w:fill="CCCCCC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(Holiday)</w:t>
            </w:r>
          </w:p>
        </w:tc>
        <w:tc>
          <w:tcPr>
            <w:tcW w:w="1846" w:type="dxa"/>
            <w:shd w:val="clear" w:color="auto" w:fill="CCCCCC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  <w:shd w:val="clear" w:color="auto" w:fill="CCCCCC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7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Dec 4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11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Test scenarios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8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Dec 11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12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Write guides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9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Dec 18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13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Write final report 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10</w:t>
            </w:r>
          </w:p>
        </w:tc>
        <w:tc>
          <w:tcPr>
            <w:tcW w:w="2083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Dec 25</w:t>
            </w:r>
          </w:p>
        </w:tc>
        <w:tc>
          <w:tcPr>
            <w:tcW w:w="1460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(Holiday)</w:t>
            </w:r>
          </w:p>
        </w:tc>
        <w:tc>
          <w:tcPr>
            <w:tcW w:w="1846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11</w:t>
            </w:r>
          </w:p>
        </w:tc>
        <w:tc>
          <w:tcPr>
            <w:tcW w:w="2083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Jan 1</w:t>
            </w:r>
          </w:p>
        </w:tc>
        <w:tc>
          <w:tcPr>
            <w:tcW w:w="1460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(Holiday)</w:t>
            </w:r>
          </w:p>
        </w:tc>
        <w:tc>
          <w:tcPr>
            <w:tcW w:w="1846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  <w:shd w:val="clear" w:color="auto" w:fill="D9D9D9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12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Jan 8</w:t>
            </w: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Session 14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Prepare presentation</w:t>
            </w:r>
          </w:p>
        </w:tc>
      </w:tr>
      <w:tr w:rsidR="005C385D">
        <w:tblPrEx>
          <w:tblCellMar>
            <w:top w:w="0" w:type="dxa"/>
            <w:bottom w:w="0" w:type="dxa"/>
          </w:tblCellMar>
        </w:tblPrEx>
        <w:tc>
          <w:tcPr>
            <w:tcW w:w="1357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  <w:tab w:val="left" w:pos="1530"/>
              </w:tabs>
              <w:ind w:right="27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Week 13</w:t>
            </w:r>
          </w:p>
        </w:tc>
        <w:tc>
          <w:tcPr>
            <w:tcW w:w="2083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Jan 15</w:t>
            </w:r>
          </w:p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ind w:right="637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1460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>Session 15</w:t>
            </w:r>
          </w:p>
        </w:tc>
        <w:tc>
          <w:tcPr>
            <w:tcW w:w="1846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  <w:lang w:val="fr-FR"/>
              </w:rPr>
            </w:pPr>
            <w:r>
              <w:rPr>
                <w:rFonts w:ascii="Palatino Linotype" w:hAnsi="Palatino Linotype"/>
                <w:b/>
                <w:lang w:val="fr-FR"/>
              </w:rPr>
              <w:t xml:space="preserve">PRESENTATION </w:t>
            </w:r>
          </w:p>
        </w:tc>
        <w:tc>
          <w:tcPr>
            <w:tcW w:w="1975" w:type="dxa"/>
          </w:tcPr>
          <w:p w:rsidR="005C385D" w:rsidRDefault="00687B1F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/>
                <w:b/>
                <w:lang w:val="fr-FR"/>
              </w:rPr>
            </w:pPr>
          </w:p>
        </w:tc>
      </w:tr>
    </w:tbl>
    <w:p w:rsidR="005C385D" w:rsidRDefault="00687B1F">
      <w:pPr>
        <w:pStyle w:val="Header"/>
        <w:tabs>
          <w:tab w:val="clear" w:pos="4320"/>
          <w:tab w:val="clear" w:pos="8640"/>
        </w:tabs>
        <w:rPr>
          <w:lang w:val="fr-FR"/>
        </w:rPr>
      </w:pPr>
    </w:p>
    <w:sectPr w:rsidR="005C385D">
      <w:headerReference w:type="default" r:id="rId9"/>
      <w:pgSz w:w="12240" w:h="15840" w:code="1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B1F">
      <w:r>
        <w:separator/>
      </w:r>
    </w:p>
  </w:endnote>
  <w:endnote w:type="continuationSeparator" w:id="0">
    <w:p w:rsidR="00000000" w:rsidRDefault="006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B1F">
      <w:r>
        <w:separator/>
      </w:r>
    </w:p>
  </w:footnote>
  <w:footnote w:type="continuationSeparator" w:id="0">
    <w:p w:rsidR="00000000" w:rsidRDefault="00687B1F">
      <w:r>
        <w:continuationSeparator/>
      </w:r>
    </w:p>
  </w:footnote>
  <w:footnote w:id="1">
    <w:p w:rsidR="005C385D" w:rsidRDefault="00687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</w:rPr>
        <w:t>RA productivity is also influence d by factors such as exploratory research dead-ends, supervisor availability, working conditions, etc., but w</w:t>
      </w:r>
      <w:r>
        <w:rPr>
          <w:rFonts w:ascii="Palatino Linotype" w:hAnsi="Palatino Linotype"/>
        </w:rPr>
        <w:t>e will assume that these are otherwise equal.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5D" w:rsidRDefault="00687B1F">
    <w:pPr>
      <w:pStyle w:val="Header"/>
      <w:ind w:left="2880"/>
      <w:rPr>
        <w:rStyle w:val="PageNumber"/>
        <w:rFonts w:ascii="Palatino" w:hAnsi="Palatino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ascii="Palatino" w:hAnsi="Palatino"/>
      </w:rPr>
      <w:t>RAStaff</w:t>
    </w:r>
    <w:r>
      <w:rPr>
        <w:rFonts w:ascii="Palatino" w:hAnsi="Palatino"/>
        <w:snapToGrid w:val="0"/>
      </w:rPr>
      <w:t xml:space="preserve">   Proposal   Page </w:t>
    </w: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 PAGE </w:instrText>
    </w:r>
    <w:r>
      <w:rPr>
        <w:rStyle w:val="PageNumber"/>
        <w:rFonts w:ascii="Palatino" w:hAnsi="Palatino"/>
      </w:rPr>
      <w:fldChar w:fldCharType="separate"/>
    </w:r>
    <w:r>
      <w:rPr>
        <w:rStyle w:val="PageNumber"/>
        <w:rFonts w:ascii="Palatino" w:hAnsi="Palatino"/>
        <w:noProof/>
      </w:rPr>
      <w:t>1</w:t>
    </w:r>
    <w:r>
      <w:rPr>
        <w:rStyle w:val="PageNumber"/>
        <w:rFonts w:ascii="Palatino" w:hAnsi="Palatino"/>
      </w:rPr>
      <w:fldChar w:fldCharType="end"/>
    </w:r>
  </w:p>
  <w:p w:rsidR="005C385D" w:rsidRDefault="00687B1F">
    <w:pPr>
      <w:pStyle w:val="Header"/>
      <w:ind w:left="2880"/>
      <w:rPr>
        <w:rFonts w:ascii="Palatino" w:hAnsi="Palatino"/>
      </w:rPr>
    </w:pPr>
    <w:r>
      <w:rPr>
        <w:rStyle w:val="PageNumber"/>
        <w:rFonts w:ascii="Palatino" w:hAnsi="Palatino"/>
      </w:rPr>
      <w:tab/>
    </w:r>
    <w:r>
      <w:rPr>
        <w:rStyle w:val="PageNumber"/>
        <w:rFonts w:ascii="Palatino" w:hAnsi="Palatino"/>
      </w:rPr>
      <w:tab/>
    </w:r>
    <w:r>
      <w:rPr>
        <w:rFonts w:ascii="Palatino" w:hAnsi="Palatino"/>
      </w:rPr>
      <w:t>Revision 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A30"/>
    <w:multiLevelType w:val="hybridMultilevel"/>
    <w:tmpl w:val="C8A04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C417A"/>
    <w:multiLevelType w:val="hybridMultilevel"/>
    <w:tmpl w:val="4CD05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A5F"/>
    <w:rsid w:val="006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ay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dc:description/>
  <cp:lastModifiedBy>Richard Brenner</cp:lastModifiedBy>
  <cp:revision>2</cp:revision>
  <dcterms:created xsi:type="dcterms:W3CDTF">2012-11-14T20:02:00Z</dcterms:created>
  <dcterms:modified xsi:type="dcterms:W3CDTF">2012-11-14T20:02:00Z</dcterms:modified>
</cp:coreProperties>
</file>