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244" w:rsidRPr="00F22FAC" w:rsidRDefault="008D5A09" w:rsidP="00691244">
      <w:pPr>
        <w:rPr>
          <w:rFonts w:ascii="Verdana" w:hAnsi="Verdana"/>
          <w:sz w:val="20"/>
          <w:szCs w:val="20"/>
        </w:rPr>
      </w:pPr>
      <w:bookmarkStart w:id="0" w:name="_GoBack"/>
      <w:bookmarkEnd w:id="0"/>
      <w:r>
        <w:rPr>
          <w:rFonts w:ascii="Verdana" w:hAnsi="Verdana"/>
          <w:sz w:val="20"/>
          <w:szCs w:val="20"/>
          <w:lang w:val="en-US" w:eastAsia="en-US" w:bidi="x-none"/>
        </w:rPr>
        <w:pict>
          <v:shapetype id="_x0000_t202" coordsize="21600,21600" o:spt="202" path="m,l,21600r21600,l21600,xe">
            <v:stroke joinstyle="miter"/>
            <v:path gradientshapeok="t" o:connecttype="rect"/>
          </v:shapetype>
          <v:shape id="_x0000_s1026" type="#_x0000_t202" style="position:absolute;margin-left:176.75pt;margin-top:-51.7pt;width:285.8pt;height:93.8pt;z-index:251657728" fillcolor="yellow">
            <v:textbox style="mso-next-textbox:#_x0000_s1026">
              <w:txbxContent>
                <w:p w:rsidR="00691244" w:rsidRPr="00B74C29" w:rsidRDefault="008D5A09" w:rsidP="00691244">
                  <w:pPr>
                    <w:jc w:val="center"/>
                    <w:rPr>
                      <w:rFonts w:ascii="Verdana" w:hAnsi="Verdana"/>
                      <w:b/>
                      <w:sz w:val="20"/>
                    </w:rPr>
                  </w:pPr>
                  <w:r w:rsidRPr="00B74C29">
                    <w:rPr>
                      <w:rFonts w:ascii="Verdana" w:hAnsi="Verdana"/>
                      <w:b/>
                      <w:sz w:val="20"/>
                    </w:rPr>
                    <w:t>Sample Only</w:t>
                  </w:r>
                </w:p>
                <w:p w:rsidR="00691244" w:rsidRPr="00B74C29" w:rsidRDefault="008D5A09">
                  <w:pPr>
                    <w:rPr>
                      <w:rFonts w:ascii="Verdana" w:hAnsi="Verdana"/>
                      <w:sz w:val="20"/>
                    </w:rPr>
                  </w:pPr>
                  <w:r w:rsidRPr="00B74C29">
                    <w:rPr>
                      <w:rFonts w:ascii="Verdana" w:hAnsi="Verdana"/>
                      <w:sz w:val="20"/>
                    </w:rPr>
                    <w:t>This document was submitted by students in a previous class. Their requirements were different from yours. We offer it only as a sample of what a pr</w:t>
                  </w:r>
                  <w:r w:rsidRPr="00B74C29">
                    <w:rPr>
                      <w:rFonts w:ascii="Verdana" w:hAnsi="Verdana"/>
                      <w:sz w:val="20"/>
                    </w:rPr>
                    <w:t>oject was for that class. Copying this document, in whole or in part, and submitting the result as your own work, would be a violation of the honor code.</w:t>
                  </w:r>
                </w:p>
              </w:txbxContent>
            </v:textbox>
          </v:shape>
        </w:pict>
      </w:r>
      <w:r>
        <w:rPr>
          <w:rFonts w:ascii="Verdana" w:hAnsi="Verdana"/>
          <w:sz w:val="20"/>
          <w:szCs w:val="20"/>
        </w:rPr>
        <w:t>SciDept</w:t>
      </w:r>
    </w:p>
    <w:p w:rsidR="00691244" w:rsidRPr="00F22FAC" w:rsidRDefault="008D5A09" w:rsidP="00691244">
      <w:pPr>
        <w:rPr>
          <w:rFonts w:ascii="Verdana" w:hAnsi="Verdana"/>
          <w:sz w:val="20"/>
          <w:szCs w:val="20"/>
        </w:rPr>
      </w:pPr>
      <w:r>
        <w:rPr>
          <w:rFonts w:ascii="Verdana" w:hAnsi="Verdana"/>
          <w:sz w:val="20"/>
          <w:szCs w:val="20"/>
        </w:rPr>
        <w:t>Reference Guide</w:t>
      </w:r>
    </w:p>
    <w:p w:rsidR="00691244" w:rsidRPr="00F22FAC" w:rsidRDefault="008D5A09" w:rsidP="00691244">
      <w:pPr>
        <w:rPr>
          <w:rFonts w:ascii="Verdana" w:hAnsi="Verdana"/>
          <w:sz w:val="20"/>
          <w:szCs w:val="20"/>
        </w:rPr>
      </w:pPr>
      <w:r w:rsidRPr="00F22FAC">
        <w:rPr>
          <w:rFonts w:ascii="Verdana" w:hAnsi="Verdana"/>
          <w:sz w:val="20"/>
          <w:szCs w:val="20"/>
        </w:rPr>
        <w:t xml:space="preserve">Revision </w:t>
      </w:r>
      <w:r>
        <w:rPr>
          <w:rFonts w:ascii="Verdana" w:hAnsi="Verdana"/>
          <w:sz w:val="20"/>
          <w:szCs w:val="20"/>
        </w:rPr>
        <w:t>7</w:t>
      </w:r>
    </w:p>
    <w:p w:rsidR="00691244" w:rsidRPr="00F22FAC" w:rsidRDefault="008D5A09" w:rsidP="00691244">
      <w:pPr>
        <w:rPr>
          <w:rFonts w:ascii="Verdana" w:hAnsi="Verdana"/>
          <w:sz w:val="20"/>
          <w:szCs w:val="20"/>
        </w:rPr>
      </w:pPr>
    </w:p>
    <w:p w:rsidR="00691244" w:rsidRDefault="008D5A09" w:rsidP="00691244">
      <w:pPr>
        <w:tabs>
          <w:tab w:val="left" w:pos="5760"/>
        </w:tabs>
        <w:rPr>
          <w:rFonts w:ascii="Verdana" w:hAnsi="Verdana"/>
          <w:sz w:val="20"/>
        </w:rPr>
      </w:pPr>
      <w:r>
        <w:rPr>
          <w:rFonts w:ascii="Verdana" w:hAnsi="Verdana"/>
          <w:sz w:val="20"/>
        </w:rPr>
        <w:tab/>
      </w:r>
    </w:p>
    <w:p w:rsidR="00691244" w:rsidRDefault="008D5A09" w:rsidP="00691244">
      <w:pPr>
        <w:rPr>
          <w:rFonts w:ascii="Verdana" w:hAnsi="Verdana"/>
          <w:b/>
          <w:sz w:val="20"/>
        </w:rPr>
      </w:pPr>
      <w:r w:rsidRPr="00784874">
        <w:rPr>
          <w:rFonts w:ascii="Verdana" w:hAnsi="Verdana"/>
          <w:b/>
          <w:sz w:val="20"/>
        </w:rPr>
        <w:t>1.</w:t>
      </w:r>
      <w:r>
        <w:rPr>
          <w:rFonts w:ascii="Verdana" w:hAnsi="Verdana"/>
          <w:b/>
          <w:sz w:val="20"/>
        </w:rPr>
        <w:t xml:space="preserve"> How the calculation works</w:t>
      </w:r>
    </w:p>
    <w:p w:rsidR="00691244" w:rsidRDefault="008D5A09" w:rsidP="00691244">
      <w:pPr>
        <w:rPr>
          <w:rFonts w:ascii="Verdana" w:hAnsi="Verdana"/>
          <w:sz w:val="20"/>
        </w:rPr>
      </w:pPr>
      <w:r>
        <w:rPr>
          <w:rFonts w:ascii="Verdana" w:hAnsi="Verdana"/>
          <w:sz w:val="20"/>
        </w:rPr>
        <w:t>SciDept model determines the amount of investment the University would require annually and cumulatively to build and sustain a new science department. At the highest level, the model calc</w:t>
      </w:r>
      <w:r>
        <w:rPr>
          <w:rFonts w:ascii="Verdana" w:hAnsi="Verdana"/>
          <w:sz w:val="20"/>
        </w:rPr>
        <w:t>ulates the amount base on this formula:</w:t>
      </w:r>
    </w:p>
    <w:p w:rsidR="00691244" w:rsidRDefault="008D5A09" w:rsidP="00691244">
      <w:pPr>
        <w:rPr>
          <w:rFonts w:ascii="Verdana" w:hAnsi="Verdana"/>
          <w:sz w:val="20"/>
        </w:rPr>
      </w:pPr>
      <w:r>
        <w:rPr>
          <w:rFonts w:ascii="Verdana" w:hAnsi="Verdana"/>
          <w:sz w:val="20"/>
        </w:rPr>
        <w:tab/>
        <w:t>Required Investment = Total Expenses – Total Revenues</w:t>
      </w:r>
    </w:p>
    <w:p w:rsidR="00691244" w:rsidRDefault="008D5A09" w:rsidP="00691244">
      <w:pPr>
        <w:rPr>
          <w:rFonts w:ascii="Verdana" w:hAnsi="Verdana"/>
          <w:sz w:val="20"/>
        </w:rPr>
      </w:pPr>
      <w:r>
        <w:rPr>
          <w:rFonts w:ascii="Verdana" w:hAnsi="Verdana"/>
          <w:sz w:val="20"/>
        </w:rPr>
        <w:t xml:space="preserve">There are two components comprising Total Revenues.  First component is Endowment Distribution and the second one is Sponsored Research Revenue.  </w:t>
      </w:r>
    </w:p>
    <w:p w:rsidR="00691244" w:rsidRDefault="008D5A09" w:rsidP="00691244">
      <w:pPr>
        <w:rPr>
          <w:rFonts w:ascii="Verdana" w:hAnsi="Verdana"/>
          <w:sz w:val="20"/>
        </w:rPr>
      </w:pPr>
    </w:p>
    <w:p w:rsidR="00691244" w:rsidRDefault="008D5A09" w:rsidP="00691244">
      <w:pPr>
        <w:rPr>
          <w:rFonts w:ascii="Verdana" w:hAnsi="Verdana"/>
          <w:sz w:val="20"/>
        </w:rPr>
      </w:pPr>
      <w:r>
        <w:rPr>
          <w:rFonts w:ascii="Verdana" w:hAnsi="Verdana"/>
          <w:sz w:val="20"/>
        </w:rPr>
        <w:t>Endowment dis</w:t>
      </w:r>
      <w:r>
        <w:rPr>
          <w:rFonts w:ascii="Verdana" w:hAnsi="Verdana"/>
          <w:sz w:val="20"/>
        </w:rPr>
        <w:t>tribution for a year is calculated by multiplying an average withdrawal rate on netted endowment market value at the beginning of that same year (same as the ending balance of prior year).  Year end netted endowment market value is calculated by multiplyin</w:t>
      </w:r>
      <w:r>
        <w:rPr>
          <w:rFonts w:ascii="Verdana" w:hAnsi="Verdana"/>
          <w:sz w:val="20"/>
        </w:rPr>
        <w:t>g an average annual return to the endowment beginning balance net of distribution.  The following formulas summarize the endowment growth and distribution model:</w:t>
      </w:r>
    </w:p>
    <w:p w:rsidR="00691244" w:rsidRDefault="008D5A09" w:rsidP="00691244">
      <w:pPr>
        <w:rPr>
          <w:rFonts w:ascii="Verdana" w:hAnsi="Verdana"/>
          <w:sz w:val="20"/>
        </w:rPr>
      </w:pPr>
      <w:r>
        <w:rPr>
          <w:rFonts w:ascii="Verdana" w:hAnsi="Verdana"/>
          <w:sz w:val="20"/>
        </w:rPr>
        <w:t>Distribution = Beginning Market Value × Withdrawal Rate</w:t>
      </w:r>
    </w:p>
    <w:p w:rsidR="00691244" w:rsidRDefault="008D5A09" w:rsidP="00691244">
      <w:pPr>
        <w:rPr>
          <w:rFonts w:ascii="Verdana" w:hAnsi="Verdana"/>
          <w:sz w:val="20"/>
        </w:rPr>
      </w:pPr>
      <w:r>
        <w:rPr>
          <w:rFonts w:ascii="Verdana" w:hAnsi="Verdana"/>
          <w:sz w:val="20"/>
        </w:rPr>
        <w:t xml:space="preserve">Year End Market Value = (Current Year </w:t>
      </w:r>
      <w:r>
        <w:rPr>
          <w:rFonts w:ascii="Verdana" w:hAnsi="Verdana"/>
          <w:sz w:val="20"/>
        </w:rPr>
        <w:t>Beginning Market Value – Distribution)</w:t>
      </w:r>
      <w:r>
        <w:t xml:space="preserve"> </w:t>
      </w:r>
      <w:r>
        <w:rPr>
          <w:rFonts w:ascii="Verdana" w:hAnsi="Verdana"/>
          <w:sz w:val="20"/>
        </w:rPr>
        <w:t>×</w:t>
      </w:r>
    </w:p>
    <w:p w:rsidR="00691244" w:rsidRDefault="008D5A09" w:rsidP="00691244">
      <w:pPr>
        <w:tabs>
          <w:tab w:val="left" w:pos="2640"/>
        </w:tabs>
        <w:rPr>
          <w:rFonts w:ascii="Verdana" w:hAnsi="Verdana"/>
          <w:sz w:val="20"/>
        </w:rPr>
      </w:pPr>
      <w:r>
        <w:rPr>
          <w:rFonts w:ascii="Verdana" w:hAnsi="Verdana"/>
          <w:sz w:val="20"/>
        </w:rPr>
        <w:tab/>
        <w:t>(1 + Average Annual Return)</w:t>
      </w:r>
    </w:p>
    <w:p w:rsidR="00691244" w:rsidRDefault="008D5A09" w:rsidP="00691244">
      <w:pPr>
        <w:tabs>
          <w:tab w:val="left" w:pos="2640"/>
        </w:tabs>
        <w:rPr>
          <w:rFonts w:ascii="Verdana" w:hAnsi="Verdana"/>
          <w:sz w:val="20"/>
        </w:rPr>
      </w:pPr>
      <w:r>
        <w:rPr>
          <w:rFonts w:ascii="Verdana" w:hAnsi="Verdana"/>
          <w:sz w:val="20"/>
        </w:rPr>
        <w:t xml:space="preserve">                                  =</w:t>
      </w:r>
      <w:r>
        <w:rPr>
          <w:rFonts w:ascii="Verdana" w:hAnsi="Verdana"/>
          <w:sz w:val="20"/>
        </w:rPr>
        <w:tab/>
        <w:t>Current Year Beginning Market Value × (1-Withdraw Rate) ×</w:t>
      </w:r>
    </w:p>
    <w:p w:rsidR="00691244" w:rsidRDefault="008D5A09" w:rsidP="00691244">
      <w:pPr>
        <w:tabs>
          <w:tab w:val="left" w:pos="2640"/>
        </w:tabs>
        <w:rPr>
          <w:rFonts w:ascii="Verdana" w:hAnsi="Verdana"/>
          <w:sz w:val="20"/>
        </w:rPr>
      </w:pPr>
      <w:r>
        <w:rPr>
          <w:rFonts w:ascii="Verdana" w:hAnsi="Verdana"/>
          <w:sz w:val="20"/>
        </w:rPr>
        <w:tab/>
        <w:t>(1 + Average Annual Return)</w:t>
      </w:r>
    </w:p>
    <w:p w:rsidR="00691244" w:rsidRDefault="008D5A09" w:rsidP="00691244">
      <w:pPr>
        <w:tabs>
          <w:tab w:val="left" w:pos="3960"/>
        </w:tabs>
        <w:rPr>
          <w:rFonts w:ascii="Verdana" w:hAnsi="Verdana"/>
          <w:sz w:val="20"/>
        </w:rPr>
      </w:pPr>
      <w:r>
        <w:rPr>
          <w:rFonts w:ascii="Verdana" w:hAnsi="Verdana"/>
          <w:sz w:val="20"/>
        </w:rPr>
        <w:t>Endowment revenue model (EndowRev worksheet) assumes faculty on</w:t>
      </w:r>
      <w:r>
        <w:rPr>
          <w:rFonts w:ascii="Verdana" w:hAnsi="Verdana"/>
          <w:sz w:val="20"/>
        </w:rPr>
        <w:t>ly begins receiving distribution the year they are hired.  As such, existing senior staffs receive distributions on year one but the year new recruits receive distribution depends on the hiring schedule.  The model determines year end endowment market valu</w:t>
      </w:r>
      <w:r>
        <w:rPr>
          <w:rFonts w:ascii="Verdana" w:hAnsi="Verdana"/>
          <w:sz w:val="20"/>
        </w:rPr>
        <w:t>e for each staff using this general formula:</w:t>
      </w:r>
    </w:p>
    <w:p w:rsidR="00691244" w:rsidRDefault="008D5A09" w:rsidP="00691244">
      <w:pPr>
        <w:tabs>
          <w:tab w:val="left" w:pos="3960"/>
        </w:tabs>
        <w:rPr>
          <w:rFonts w:ascii="Verdana" w:hAnsi="Verdana"/>
          <w:sz w:val="20"/>
        </w:rPr>
      </w:pPr>
      <w:r w:rsidRPr="00456D26">
        <w:rPr>
          <w:rFonts w:ascii="Verdana" w:hAnsi="Verdana"/>
          <w:sz w:val="20"/>
        </w:rPr>
        <w:t>IF(Sr&gt;0,</w:t>
      </w:r>
    </w:p>
    <w:p w:rsidR="00691244" w:rsidRDefault="008D5A09" w:rsidP="00691244">
      <w:pPr>
        <w:tabs>
          <w:tab w:val="left" w:pos="3960"/>
        </w:tabs>
        <w:rPr>
          <w:rFonts w:ascii="Verdana" w:hAnsi="Verdana"/>
          <w:sz w:val="20"/>
        </w:rPr>
      </w:pPr>
      <w:r>
        <w:rPr>
          <w:rFonts w:ascii="Verdana" w:hAnsi="Verdana"/>
          <w:sz w:val="20"/>
        </w:rPr>
        <w:t xml:space="preserve">    </w:t>
      </w:r>
      <w:r w:rsidRPr="00456D26">
        <w:rPr>
          <w:rFonts w:ascii="Verdana" w:hAnsi="Verdana"/>
          <w:sz w:val="20"/>
        </w:rPr>
        <w:t>MrtValueSr*(1-DistributionRate)*(1+EndowmentReturn),</w:t>
      </w:r>
    </w:p>
    <w:p w:rsidR="00691244" w:rsidRDefault="008D5A09" w:rsidP="00691244">
      <w:pPr>
        <w:tabs>
          <w:tab w:val="left" w:pos="3960"/>
        </w:tabs>
        <w:rPr>
          <w:rFonts w:ascii="Verdana" w:hAnsi="Verdana"/>
          <w:sz w:val="20"/>
        </w:rPr>
      </w:pPr>
      <w:r>
        <w:rPr>
          <w:rFonts w:ascii="Verdana" w:hAnsi="Verdana"/>
          <w:sz w:val="20"/>
        </w:rPr>
        <w:t xml:space="preserve">    </w:t>
      </w:r>
      <w:r w:rsidRPr="00456D26">
        <w:rPr>
          <w:rFonts w:ascii="Verdana" w:hAnsi="Verdana"/>
          <w:sz w:val="20"/>
        </w:rPr>
        <w:t>IF(Lt&gt;0,</w:t>
      </w:r>
      <w:r>
        <w:rPr>
          <w:rFonts w:ascii="Verdana" w:hAnsi="Verdana"/>
          <w:sz w:val="20"/>
        </w:rPr>
        <w:t xml:space="preserve"> Lt*(1-</w:t>
      </w:r>
      <w:r w:rsidRPr="00456D26">
        <w:rPr>
          <w:rFonts w:ascii="Verdana" w:hAnsi="Verdana"/>
          <w:sz w:val="20"/>
        </w:rPr>
        <w:t>DistributionRate)*(1+EndowmentReturn),</w:t>
      </w:r>
      <w:r>
        <w:rPr>
          <w:rFonts w:ascii="Verdana" w:hAnsi="Verdana"/>
          <w:sz w:val="20"/>
        </w:rPr>
        <w:t xml:space="preserve"> </w:t>
      </w:r>
      <w:r w:rsidRPr="00456D26">
        <w:rPr>
          <w:rFonts w:ascii="Verdana" w:hAnsi="Verdana"/>
          <w:sz w:val="20"/>
        </w:rPr>
        <w:t>0))</w:t>
      </w:r>
    </w:p>
    <w:p w:rsidR="00691244" w:rsidRDefault="008D5A09" w:rsidP="00691244">
      <w:pPr>
        <w:tabs>
          <w:tab w:val="left" w:pos="3960"/>
        </w:tabs>
        <w:rPr>
          <w:rFonts w:ascii="Verdana" w:hAnsi="Verdana"/>
          <w:sz w:val="20"/>
        </w:rPr>
      </w:pPr>
      <w:r>
        <w:rPr>
          <w:rFonts w:ascii="Verdana" w:hAnsi="Verdana"/>
          <w:sz w:val="20"/>
        </w:rPr>
        <w:t>For year one, because there is not prior year value, the formula is modified to:</w:t>
      </w:r>
    </w:p>
    <w:p w:rsidR="00691244" w:rsidRDefault="008D5A09" w:rsidP="00691244">
      <w:pPr>
        <w:tabs>
          <w:tab w:val="left" w:pos="3960"/>
        </w:tabs>
        <w:rPr>
          <w:rFonts w:ascii="Verdana" w:hAnsi="Verdana"/>
          <w:sz w:val="20"/>
        </w:rPr>
      </w:pPr>
      <w:r>
        <w:rPr>
          <w:rFonts w:ascii="Verdana" w:hAnsi="Verdana"/>
          <w:sz w:val="20"/>
        </w:rPr>
        <w:t>IF</w:t>
      </w:r>
      <w:r>
        <w:rPr>
          <w:rFonts w:ascii="Verdana" w:hAnsi="Verdana"/>
          <w:sz w:val="20"/>
        </w:rPr>
        <w:t>(Sr</w:t>
      </w:r>
      <w:r w:rsidRPr="00456D26">
        <w:rPr>
          <w:rFonts w:ascii="Verdana" w:hAnsi="Verdana"/>
          <w:sz w:val="20"/>
        </w:rPr>
        <w:t>&gt;0,</w:t>
      </w:r>
    </w:p>
    <w:p w:rsidR="00691244" w:rsidRDefault="008D5A09" w:rsidP="00691244">
      <w:pPr>
        <w:tabs>
          <w:tab w:val="left" w:pos="3960"/>
        </w:tabs>
        <w:rPr>
          <w:rFonts w:ascii="Verdana" w:hAnsi="Verdana"/>
          <w:sz w:val="20"/>
        </w:rPr>
      </w:pPr>
      <w:r>
        <w:rPr>
          <w:rFonts w:ascii="Verdana" w:hAnsi="Verdana"/>
          <w:sz w:val="20"/>
        </w:rPr>
        <w:t xml:space="preserve">    MrtValueSr</w:t>
      </w:r>
      <w:r w:rsidRPr="00456D26">
        <w:rPr>
          <w:rFonts w:ascii="Verdana" w:hAnsi="Verdana"/>
          <w:sz w:val="20"/>
        </w:rPr>
        <w:t>*(1-DistributionRate)*(1+EndowmentReturn),</w:t>
      </w:r>
    </w:p>
    <w:p w:rsidR="00691244" w:rsidRDefault="008D5A09" w:rsidP="00691244">
      <w:pPr>
        <w:tabs>
          <w:tab w:val="left" w:pos="3960"/>
        </w:tabs>
        <w:rPr>
          <w:rFonts w:ascii="Verdana" w:hAnsi="Verdana"/>
          <w:sz w:val="20"/>
        </w:rPr>
      </w:pPr>
      <w:r>
        <w:rPr>
          <w:rFonts w:ascii="Verdana" w:hAnsi="Verdana"/>
          <w:sz w:val="20"/>
        </w:rPr>
        <w:t xml:space="preserve">    </w:t>
      </w:r>
      <w:r w:rsidRPr="00456D26">
        <w:rPr>
          <w:rFonts w:ascii="Verdana" w:hAnsi="Verdana"/>
          <w:sz w:val="20"/>
        </w:rPr>
        <w:t>0)</w:t>
      </w:r>
    </w:p>
    <w:p w:rsidR="00691244" w:rsidRDefault="008D5A09" w:rsidP="00691244">
      <w:pPr>
        <w:tabs>
          <w:tab w:val="left" w:pos="3960"/>
        </w:tabs>
        <w:rPr>
          <w:rFonts w:ascii="Verdana" w:hAnsi="Verdana"/>
          <w:sz w:val="20"/>
        </w:rPr>
      </w:pPr>
      <w:r>
        <w:rPr>
          <w:rFonts w:ascii="Verdana" w:hAnsi="Verdana"/>
          <w:sz w:val="20"/>
        </w:rPr>
        <w:t>In these formulas, Sr represents the hiring stream of a staff and MrtValueSr represents the initial endowment market value associated with this staff.  DistributionRate and EndowmentRet</w:t>
      </w:r>
      <w:r>
        <w:rPr>
          <w:rFonts w:ascii="Verdana" w:hAnsi="Verdana"/>
          <w:sz w:val="20"/>
        </w:rPr>
        <w:t xml:space="preserve">urn represent average annual distribution rate and investment return for endowment.  All these input parameters are adjustable by users.  Two important intermediate results generated are annual endowment distribution and cumulative endowment distribution. </w:t>
      </w:r>
      <w:r>
        <w:rPr>
          <w:rFonts w:ascii="Verdana" w:hAnsi="Verdana"/>
          <w:sz w:val="20"/>
        </w:rPr>
        <w:t xml:space="preserve"> Both contribute to the final total annual revenue stream and cumulative revenue stream respectively.</w:t>
      </w:r>
    </w:p>
    <w:p w:rsidR="00691244" w:rsidRDefault="008D5A09" w:rsidP="00691244">
      <w:pPr>
        <w:rPr>
          <w:rFonts w:ascii="Verdana" w:hAnsi="Verdana"/>
          <w:sz w:val="20"/>
        </w:rPr>
      </w:pPr>
    </w:p>
    <w:p w:rsidR="00691244" w:rsidRDefault="008D5A09" w:rsidP="00691244">
      <w:pPr>
        <w:rPr>
          <w:rFonts w:ascii="Verdana" w:hAnsi="Verdana"/>
          <w:sz w:val="20"/>
        </w:rPr>
      </w:pPr>
      <w:r>
        <w:rPr>
          <w:rFonts w:ascii="Verdana" w:hAnsi="Verdana"/>
          <w:sz w:val="20"/>
        </w:rPr>
        <w:t>Sponsored Research Revenue is the sum of two components: direct and indirect grant amount.  Direct grant portion can only be used for covering direct cos</w:t>
      </w:r>
      <w:r>
        <w:rPr>
          <w:rFonts w:ascii="Verdana" w:hAnsi="Verdana"/>
          <w:sz w:val="20"/>
        </w:rPr>
        <w:t xml:space="preserve">ts whereas indirect grant portion can be used for covering both direct costs and indirect costs.  </w:t>
      </w:r>
    </w:p>
    <w:p w:rsidR="00691244" w:rsidRDefault="008D5A09" w:rsidP="00691244">
      <w:pPr>
        <w:rPr>
          <w:rFonts w:ascii="Verdana" w:hAnsi="Verdana"/>
          <w:sz w:val="20"/>
        </w:rPr>
      </w:pPr>
      <w:r>
        <w:rPr>
          <w:rFonts w:ascii="Verdana" w:hAnsi="Verdana"/>
          <w:sz w:val="20"/>
        </w:rPr>
        <w:t>Direct grant amount is calculated by multiplying inflation adjusted grant amount analysis by faculty grants awarded analysis data.  Faculty grants awarded an</w:t>
      </w:r>
      <w:r>
        <w:rPr>
          <w:rFonts w:ascii="Verdana" w:hAnsi="Verdana"/>
          <w:sz w:val="20"/>
        </w:rPr>
        <w:t>alysis is an array (GrantsAwardedAnalysis) based on individual faculty average success rate of submitted grants (GrantSuccessAvg) and average number of grants application submitted (GrantsSubmittedAnalysis).  The average projected number of grants applicat</w:t>
      </w:r>
      <w:r>
        <w:rPr>
          <w:rFonts w:ascii="Verdana" w:hAnsi="Verdana"/>
          <w:sz w:val="20"/>
        </w:rPr>
        <w:t xml:space="preserve">ion submitted is the result of array multiplication of average grants submitted and the </w:t>
      </w:r>
      <w:r>
        <w:rPr>
          <w:rFonts w:ascii="Verdana" w:hAnsi="Verdana"/>
          <w:sz w:val="20"/>
        </w:rPr>
        <w:lastRenderedPageBreak/>
        <w:t>proposed department’s cumulative hiring schedule.  Inflation adjusted grant amount analysis is an array (GrantInflationAnalysis) calculated by applying historical avera</w:t>
      </w:r>
      <w:r>
        <w:rPr>
          <w:rFonts w:ascii="Verdana" w:hAnsi="Verdana"/>
          <w:sz w:val="20"/>
        </w:rPr>
        <w:t>ge inflation rate (GrantInflation) on average grant amount (GrantAmountAvg), both are adjustable input parameters specified in InputsParameters.  Sponsored research revenue model can be summarized by the following series of formulas:</w:t>
      </w:r>
    </w:p>
    <w:p w:rsidR="00691244" w:rsidRDefault="008D5A09" w:rsidP="00691244">
      <w:pPr>
        <w:rPr>
          <w:rFonts w:ascii="Verdana" w:hAnsi="Verdana"/>
          <w:sz w:val="20"/>
        </w:rPr>
      </w:pPr>
      <w:r>
        <w:rPr>
          <w:rFonts w:ascii="Verdana" w:hAnsi="Verdana"/>
          <w:sz w:val="20"/>
        </w:rPr>
        <w:t>TotalDirectGrantAmount</w:t>
      </w:r>
      <w:r>
        <w:rPr>
          <w:rFonts w:ascii="Verdana" w:hAnsi="Verdana"/>
          <w:sz w:val="20"/>
        </w:rPr>
        <w:t xml:space="preserve"> = GrantInflationAnalysis × GrantsAwardedAnalysis</w:t>
      </w:r>
    </w:p>
    <w:p w:rsidR="00691244" w:rsidRDefault="008D5A09" w:rsidP="00691244">
      <w:pPr>
        <w:rPr>
          <w:rFonts w:ascii="Verdana" w:hAnsi="Verdana"/>
          <w:sz w:val="20"/>
        </w:rPr>
      </w:pPr>
      <w:r>
        <w:rPr>
          <w:rFonts w:ascii="Verdana" w:hAnsi="Verdana"/>
          <w:sz w:val="20"/>
        </w:rPr>
        <w:t>GrantsAwardedAnalysis = GrantSuccessAvg × GrantsSubmittedAnalysis</w:t>
      </w:r>
    </w:p>
    <w:p w:rsidR="00691244" w:rsidRDefault="008D5A09" w:rsidP="00691244">
      <w:pPr>
        <w:rPr>
          <w:rFonts w:ascii="Verdana" w:hAnsi="Verdana"/>
          <w:sz w:val="20"/>
        </w:rPr>
      </w:pPr>
      <w:r>
        <w:rPr>
          <w:rFonts w:ascii="Verdana" w:hAnsi="Verdana"/>
          <w:sz w:val="20"/>
        </w:rPr>
        <w:t>GrantsSubmittedAnalysis = GrantSubmittedAvg × CumFacRecruitStream</w:t>
      </w:r>
    </w:p>
    <w:p w:rsidR="00691244" w:rsidRDefault="008D5A09" w:rsidP="00691244">
      <w:pPr>
        <w:rPr>
          <w:rFonts w:ascii="Verdana" w:hAnsi="Verdana"/>
          <w:sz w:val="20"/>
        </w:rPr>
      </w:pPr>
      <w:r>
        <w:rPr>
          <w:rFonts w:ascii="Verdana" w:hAnsi="Verdana"/>
          <w:sz w:val="20"/>
        </w:rPr>
        <w:t>GrantInflationAnalysis = GrantAmountAvg × (1 + GrantInflation)</w:t>
      </w:r>
    </w:p>
    <w:p w:rsidR="00691244" w:rsidRDefault="008D5A09" w:rsidP="00691244">
      <w:pPr>
        <w:rPr>
          <w:rFonts w:ascii="Verdana" w:hAnsi="Verdana"/>
          <w:sz w:val="20"/>
        </w:rPr>
      </w:pPr>
    </w:p>
    <w:p w:rsidR="00691244" w:rsidRDefault="008D5A09" w:rsidP="00691244">
      <w:pPr>
        <w:rPr>
          <w:rFonts w:ascii="Verdana" w:hAnsi="Verdana"/>
          <w:sz w:val="20"/>
        </w:rPr>
      </w:pPr>
      <w:r>
        <w:rPr>
          <w:rFonts w:ascii="Verdana" w:hAnsi="Verdana"/>
          <w:sz w:val="20"/>
        </w:rPr>
        <w:t>Indirect g</w:t>
      </w:r>
      <w:r>
        <w:rPr>
          <w:rFonts w:ascii="Verdana" w:hAnsi="Verdana"/>
          <w:sz w:val="20"/>
        </w:rPr>
        <w:t>rant amount is the sum of two components:  Facility Indirect and Administrative Indirect.  Both values are calculated by applying fixed, negotiated federal indirect rate for facility and indirect rate for administrative respectively to total direct grant a</w:t>
      </w:r>
      <w:r>
        <w:rPr>
          <w:rFonts w:ascii="Verdana" w:hAnsi="Verdana"/>
          <w:sz w:val="20"/>
        </w:rPr>
        <w:t>mount obtained from above:</w:t>
      </w:r>
    </w:p>
    <w:p w:rsidR="00691244" w:rsidRDefault="008D5A09" w:rsidP="00691244">
      <w:pPr>
        <w:tabs>
          <w:tab w:val="left" w:pos="1560"/>
        </w:tabs>
        <w:rPr>
          <w:rFonts w:ascii="Verdana" w:hAnsi="Verdana"/>
          <w:sz w:val="20"/>
        </w:rPr>
      </w:pPr>
      <w:r>
        <w:rPr>
          <w:rFonts w:ascii="Verdana" w:hAnsi="Verdana"/>
          <w:sz w:val="20"/>
        </w:rPr>
        <w:t>Indirect Grant</w:t>
      </w:r>
      <w:r>
        <w:rPr>
          <w:rFonts w:ascii="Verdana" w:hAnsi="Verdana"/>
          <w:sz w:val="20"/>
        </w:rPr>
        <w:tab/>
        <w:t>= Facility Indirect Grant + Administration Indirect Grant</w:t>
      </w:r>
    </w:p>
    <w:p w:rsidR="00691244" w:rsidRDefault="008D5A09" w:rsidP="00691244">
      <w:pPr>
        <w:tabs>
          <w:tab w:val="left" w:pos="1560"/>
        </w:tabs>
        <w:rPr>
          <w:rFonts w:ascii="Verdana" w:hAnsi="Verdana"/>
          <w:sz w:val="20"/>
        </w:rPr>
      </w:pPr>
      <w:r>
        <w:rPr>
          <w:rFonts w:ascii="Verdana" w:hAnsi="Verdana"/>
          <w:sz w:val="20"/>
        </w:rPr>
        <w:tab/>
        <w:t xml:space="preserve">= Federal Indirect Rate for Facility × Total Direct Grant Amount + </w:t>
      </w:r>
    </w:p>
    <w:p w:rsidR="00691244" w:rsidRDefault="008D5A09" w:rsidP="00691244">
      <w:pPr>
        <w:tabs>
          <w:tab w:val="left" w:pos="1560"/>
        </w:tabs>
        <w:rPr>
          <w:rFonts w:ascii="Verdana" w:hAnsi="Verdana"/>
          <w:sz w:val="20"/>
        </w:rPr>
      </w:pPr>
      <w:r>
        <w:rPr>
          <w:rFonts w:ascii="Verdana" w:hAnsi="Verdana"/>
          <w:sz w:val="20"/>
        </w:rPr>
        <w:tab/>
        <w:t xml:space="preserve">   Federal Indirect Rate for Administration × Total Direct Grant Amount</w:t>
      </w:r>
    </w:p>
    <w:p w:rsidR="00691244" w:rsidRDefault="008D5A09" w:rsidP="00691244">
      <w:pPr>
        <w:rPr>
          <w:rFonts w:ascii="Verdana" w:hAnsi="Verdana"/>
          <w:sz w:val="20"/>
        </w:rPr>
      </w:pPr>
      <w:r>
        <w:rPr>
          <w:rFonts w:ascii="Verdana" w:hAnsi="Verdana"/>
          <w:sz w:val="20"/>
        </w:rPr>
        <w:t>Sponsored Rese</w:t>
      </w:r>
      <w:r>
        <w:rPr>
          <w:rFonts w:ascii="Verdana" w:hAnsi="Verdana"/>
          <w:sz w:val="20"/>
        </w:rPr>
        <w:t>arch Revenue contributes to the final total revenue stream of the model.</w:t>
      </w:r>
    </w:p>
    <w:p w:rsidR="00691244" w:rsidRDefault="008D5A09" w:rsidP="00691244">
      <w:pPr>
        <w:rPr>
          <w:rFonts w:ascii="Verdana" w:hAnsi="Verdana"/>
          <w:sz w:val="20"/>
        </w:rPr>
      </w:pPr>
    </w:p>
    <w:p w:rsidR="00691244" w:rsidRDefault="008D5A09" w:rsidP="00691244">
      <w:pPr>
        <w:rPr>
          <w:rFonts w:ascii="Verdana" w:hAnsi="Verdana"/>
          <w:sz w:val="20"/>
        </w:rPr>
      </w:pPr>
      <w:r>
        <w:rPr>
          <w:rFonts w:ascii="Verdana" w:hAnsi="Verdana"/>
          <w:sz w:val="20"/>
        </w:rPr>
        <w:t xml:space="preserve">Total expenses comprised of four components: faculty benefits, laboratory operations expenses, investment in spaces and administrative costs:  </w:t>
      </w:r>
    </w:p>
    <w:p w:rsidR="00691244" w:rsidRDefault="008D5A09" w:rsidP="00691244">
      <w:pPr>
        <w:rPr>
          <w:rFonts w:ascii="Verdana" w:hAnsi="Verdana"/>
          <w:sz w:val="20"/>
        </w:rPr>
      </w:pPr>
      <w:r>
        <w:rPr>
          <w:rFonts w:ascii="Verdana" w:hAnsi="Verdana"/>
          <w:sz w:val="20"/>
        </w:rPr>
        <w:t>Total expenses = faculty benefits + la</w:t>
      </w:r>
      <w:r>
        <w:rPr>
          <w:rFonts w:ascii="Verdana" w:hAnsi="Verdana"/>
          <w:sz w:val="20"/>
        </w:rPr>
        <w:t>boratory operations expenses +</w:t>
      </w:r>
    </w:p>
    <w:p w:rsidR="00691244" w:rsidRDefault="008D5A09" w:rsidP="00691244">
      <w:pPr>
        <w:rPr>
          <w:rFonts w:ascii="Verdana" w:hAnsi="Verdana"/>
          <w:sz w:val="20"/>
        </w:rPr>
      </w:pPr>
      <w:r>
        <w:rPr>
          <w:rFonts w:ascii="Verdana" w:hAnsi="Verdana"/>
          <w:sz w:val="20"/>
        </w:rPr>
        <w:t xml:space="preserve">                         Investment in space + administrative costs</w:t>
      </w:r>
    </w:p>
    <w:p w:rsidR="00691244" w:rsidRDefault="008D5A09" w:rsidP="00691244">
      <w:pPr>
        <w:rPr>
          <w:rFonts w:ascii="Verdana" w:hAnsi="Verdana"/>
          <w:sz w:val="20"/>
        </w:rPr>
      </w:pPr>
    </w:p>
    <w:p w:rsidR="00691244" w:rsidRDefault="008D5A09" w:rsidP="00691244">
      <w:pPr>
        <w:rPr>
          <w:rFonts w:ascii="Verdana" w:hAnsi="Verdana"/>
          <w:sz w:val="20"/>
        </w:rPr>
      </w:pPr>
      <w:r>
        <w:rPr>
          <w:rFonts w:ascii="Verdana" w:hAnsi="Verdana"/>
          <w:sz w:val="20"/>
        </w:rPr>
        <w:t>Faculty benefits include both salaries and fringe and both are inflation adjusted.  Senior and junior faculty have different hiring schedule and staring sal</w:t>
      </w:r>
      <w:r>
        <w:rPr>
          <w:rFonts w:ascii="Verdana" w:hAnsi="Verdana"/>
          <w:sz w:val="20"/>
        </w:rPr>
        <w:t>ary.  Their initial (year 1) salaries are calculated by multiplying their starting salary and hiring schedules:</w:t>
      </w:r>
    </w:p>
    <w:p w:rsidR="00691244" w:rsidRDefault="008D5A09" w:rsidP="00691244">
      <w:pPr>
        <w:rPr>
          <w:rFonts w:ascii="Verdana" w:hAnsi="Verdana"/>
          <w:sz w:val="20"/>
        </w:rPr>
      </w:pPr>
      <w:r w:rsidRPr="00D8565D">
        <w:rPr>
          <w:rFonts w:ascii="Verdana" w:hAnsi="Verdana"/>
          <w:sz w:val="20"/>
        </w:rPr>
        <w:t>MMULT(TRANSPOSE(SrFacSalary),SrFacRec)</w:t>
      </w:r>
    </w:p>
    <w:p w:rsidR="00691244" w:rsidRDefault="008D5A09" w:rsidP="00691244">
      <w:pPr>
        <w:rPr>
          <w:rFonts w:ascii="Verdana" w:hAnsi="Verdana"/>
          <w:sz w:val="20"/>
        </w:rPr>
      </w:pPr>
      <w:r w:rsidRPr="00D8565D">
        <w:rPr>
          <w:rFonts w:ascii="Verdana" w:hAnsi="Verdana"/>
          <w:sz w:val="20"/>
        </w:rPr>
        <w:t>MMULT(TRANSPOSE(JrFacSalary),JrFacRec)</w:t>
      </w:r>
    </w:p>
    <w:p w:rsidR="00691244" w:rsidRDefault="008D5A09" w:rsidP="00691244">
      <w:pPr>
        <w:rPr>
          <w:rFonts w:ascii="Verdana" w:hAnsi="Verdana"/>
          <w:sz w:val="20"/>
        </w:rPr>
      </w:pPr>
    </w:p>
    <w:p w:rsidR="00691244" w:rsidRDefault="008D5A09" w:rsidP="00691244">
      <w:pPr>
        <w:rPr>
          <w:rFonts w:ascii="Verdana" w:hAnsi="Verdana"/>
          <w:sz w:val="20"/>
        </w:rPr>
      </w:pPr>
      <w:r>
        <w:rPr>
          <w:rFonts w:ascii="Verdana" w:hAnsi="Verdana"/>
          <w:sz w:val="20"/>
        </w:rPr>
        <w:t>To calculate annual total salary and fringe expenses, the model f</w:t>
      </w:r>
      <w:r>
        <w:rPr>
          <w:rFonts w:ascii="Verdana" w:hAnsi="Verdana"/>
          <w:sz w:val="20"/>
        </w:rPr>
        <w:t>irst calculates starting salary for each staff as above.  The starting salaries are then accumulating forward inflation adjusted:</w:t>
      </w:r>
    </w:p>
    <w:p w:rsidR="00691244" w:rsidRDefault="008D5A09" w:rsidP="00691244">
      <w:pPr>
        <w:rPr>
          <w:rFonts w:ascii="Verdana" w:hAnsi="Verdana"/>
          <w:sz w:val="20"/>
        </w:rPr>
      </w:pPr>
      <w:r w:rsidRPr="004640D0">
        <w:rPr>
          <w:rFonts w:ascii="Verdana" w:hAnsi="Verdana"/>
          <w:sz w:val="20"/>
        </w:rPr>
        <w:t>ProjTotalSrFacStartingSalary+Lt*ProjectedInflation</w:t>
      </w:r>
    </w:p>
    <w:p w:rsidR="00691244" w:rsidRDefault="008D5A09" w:rsidP="00691244">
      <w:pPr>
        <w:rPr>
          <w:rFonts w:ascii="Verdana" w:hAnsi="Verdana"/>
          <w:sz w:val="20"/>
        </w:rPr>
      </w:pPr>
      <w:r w:rsidRPr="004640D0">
        <w:rPr>
          <w:rFonts w:ascii="Verdana" w:hAnsi="Verdana"/>
          <w:sz w:val="20"/>
        </w:rPr>
        <w:t>ProjTotalJrFacStartingSalary+Lt*ProjectedInflation</w:t>
      </w:r>
    </w:p>
    <w:p w:rsidR="00691244" w:rsidRDefault="008D5A09" w:rsidP="00691244">
      <w:pPr>
        <w:rPr>
          <w:rFonts w:ascii="Verdana" w:hAnsi="Verdana"/>
          <w:sz w:val="20"/>
        </w:rPr>
      </w:pPr>
    </w:p>
    <w:p w:rsidR="00691244" w:rsidRDefault="008D5A09" w:rsidP="00691244">
      <w:pPr>
        <w:rPr>
          <w:rFonts w:ascii="Verdana" w:hAnsi="Verdana"/>
          <w:sz w:val="20"/>
        </w:rPr>
      </w:pPr>
      <w:r>
        <w:rPr>
          <w:rFonts w:ascii="Verdana" w:hAnsi="Verdana"/>
          <w:sz w:val="20"/>
        </w:rPr>
        <w:t>Similar strategy is use</w:t>
      </w:r>
      <w:r>
        <w:rPr>
          <w:rFonts w:ascii="Verdana" w:hAnsi="Verdana"/>
          <w:sz w:val="20"/>
        </w:rPr>
        <w:t>d for calculating annual total fringe benefits.  Starting fringe benefits are calculated by applying an average rate on their starting annual salaries and then accumulating forward inflation adjusted.  Starting salary and hiring schedules for faculty benef</w:t>
      </w:r>
      <w:r>
        <w:rPr>
          <w:rFonts w:ascii="Verdana" w:hAnsi="Verdana"/>
          <w:sz w:val="20"/>
        </w:rPr>
        <w:t>its model are defined in InputParameters worksheet.  Outputs are total and cumulative benefits, used for calculating total expenses.</w:t>
      </w:r>
    </w:p>
    <w:p w:rsidR="00691244" w:rsidRDefault="008D5A09" w:rsidP="00691244">
      <w:pPr>
        <w:rPr>
          <w:rFonts w:ascii="Verdana" w:hAnsi="Verdana"/>
          <w:sz w:val="20"/>
        </w:rPr>
      </w:pPr>
    </w:p>
    <w:p w:rsidR="00691244" w:rsidRDefault="008D5A09" w:rsidP="00691244">
      <w:pPr>
        <w:rPr>
          <w:rFonts w:ascii="Verdana" w:hAnsi="Verdana"/>
          <w:sz w:val="20"/>
        </w:rPr>
      </w:pPr>
      <w:r>
        <w:rPr>
          <w:rFonts w:ascii="Verdana" w:hAnsi="Verdana"/>
          <w:sz w:val="20"/>
        </w:rPr>
        <w:t>Total laboratory operation expense is a summation of four main components:  senior faculty laboratory expenses, junior fac</w:t>
      </w:r>
      <w:r>
        <w:rPr>
          <w:rFonts w:ascii="Verdana" w:hAnsi="Verdana"/>
          <w:sz w:val="20"/>
        </w:rPr>
        <w:t>ulty laboratory expenses, department equipment expenses and start-up costs.</w:t>
      </w:r>
    </w:p>
    <w:p w:rsidR="00691244" w:rsidRDefault="008D5A09" w:rsidP="00691244">
      <w:pPr>
        <w:rPr>
          <w:rFonts w:ascii="Verdana" w:hAnsi="Verdana"/>
          <w:sz w:val="20"/>
        </w:rPr>
      </w:pPr>
      <w:r>
        <w:rPr>
          <w:rFonts w:ascii="Verdana" w:hAnsi="Verdana"/>
          <w:sz w:val="20"/>
        </w:rPr>
        <w:t>Senior faculty laboratory expenses include costs to acquire laboratory animals, laboratory personnel expenses (non-faculty) and other expenses such as supplies, publications and tr</w:t>
      </w:r>
      <w:r>
        <w:rPr>
          <w:rFonts w:ascii="Verdana" w:hAnsi="Verdana"/>
          <w:sz w:val="20"/>
        </w:rPr>
        <w:t>avel.  Each category of costs is subject to different inflation separately adjustable in InputsParameters.  Inflation adjusted animals, personnel and other costs are then multiply with cumulative senior faculty hiring stream and sum up together to obtain t</w:t>
      </w:r>
      <w:r>
        <w:rPr>
          <w:rFonts w:ascii="Verdana" w:hAnsi="Verdana"/>
          <w:sz w:val="20"/>
        </w:rPr>
        <w:t>otal and cumulative senior faculty laboratory expenses.</w:t>
      </w:r>
    </w:p>
    <w:p w:rsidR="00691244" w:rsidRDefault="008D5A09" w:rsidP="00691244">
      <w:pPr>
        <w:rPr>
          <w:rFonts w:ascii="Verdana" w:hAnsi="Verdana"/>
          <w:sz w:val="20"/>
        </w:rPr>
      </w:pPr>
      <w:r>
        <w:rPr>
          <w:rFonts w:ascii="Verdana" w:hAnsi="Verdana"/>
          <w:sz w:val="20"/>
        </w:rPr>
        <w:t xml:space="preserve">Junior faculty laboratory expenses calculation is simpler because cost data is a single lump-sum stream.  It is obtained by an array multiplication of cumulative junior hiring </w:t>
      </w:r>
      <w:r>
        <w:rPr>
          <w:rFonts w:ascii="Verdana" w:hAnsi="Verdana"/>
          <w:sz w:val="20"/>
        </w:rPr>
        <w:lastRenderedPageBreak/>
        <w:t xml:space="preserve">stream (CumJrFacPY) and </w:t>
      </w:r>
      <w:r>
        <w:rPr>
          <w:rFonts w:ascii="Verdana" w:hAnsi="Verdana"/>
          <w:sz w:val="20"/>
        </w:rPr>
        <w:t xml:space="preserve">junior lab costs stream (JrFacLabCostStream) obtained from InputsParameters. </w:t>
      </w:r>
    </w:p>
    <w:p w:rsidR="00691244" w:rsidRDefault="008D5A09" w:rsidP="00691244">
      <w:pPr>
        <w:rPr>
          <w:rFonts w:ascii="Verdana" w:hAnsi="Verdana"/>
          <w:sz w:val="20"/>
        </w:rPr>
      </w:pPr>
    </w:p>
    <w:p w:rsidR="00691244" w:rsidRDefault="008D5A09" w:rsidP="00691244">
      <w:pPr>
        <w:rPr>
          <w:rFonts w:ascii="Verdana" w:hAnsi="Verdana"/>
          <w:sz w:val="20"/>
        </w:rPr>
      </w:pPr>
      <w:r>
        <w:rPr>
          <w:rFonts w:ascii="Verdana" w:hAnsi="Verdana"/>
          <w:sz w:val="20"/>
        </w:rPr>
        <w:t>Department equipment expense per year is the actual cash outlay for that year rather than the value of equipment purchased.  The cash outlay is the sum of cash (non-financed) po</w:t>
      </w:r>
      <w:r>
        <w:rPr>
          <w:rFonts w:ascii="Verdana" w:hAnsi="Verdana"/>
          <w:sz w:val="20"/>
        </w:rPr>
        <w:t>rtion of any purchases plus financial payment for accrued debt balanced:</w:t>
      </w:r>
    </w:p>
    <w:p w:rsidR="00691244" w:rsidRDefault="008D5A09" w:rsidP="00691244">
      <w:pPr>
        <w:rPr>
          <w:rFonts w:ascii="Verdana" w:hAnsi="Verdana"/>
          <w:sz w:val="20"/>
        </w:rPr>
      </w:pPr>
      <w:r>
        <w:rPr>
          <w:rFonts w:ascii="Verdana" w:hAnsi="Verdana"/>
          <w:sz w:val="20"/>
        </w:rPr>
        <w:t xml:space="preserve">Annual equipment expenses = Equipment cash expense during the year + </w:t>
      </w:r>
    </w:p>
    <w:p w:rsidR="00691244" w:rsidRDefault="008D5A09" w:rsidP="00691244">
      <w:pPr>
        <w:rPr>
          <w:rFonts w:ascii="Verdana" w:hAnsi="Verdana"/>
          <w:sz w:val="20"/>
        </w:rPr>
      </w:pPr>
      <w:r>
        <w:rPr>
          <w:rFonts w:ascii="Verdana" w:hAnsi="Verdana"/>
          <w:sz w:val="20"/>
        </w:rPr>
        <w:t xml:space="preserve">                                             Total debt payment for the year</w:t>
      </w:r>
    </w:p>
    <w:p w:rsidR="00691244" w:rsidRDefault="008D5A09" w:rsidP="00691244">
      <w:pPr>
        <w:rPr>
          <w:rFonts w:ascii="Verdana" w:hAnsi="Verdana"/>
          <w:sz w:val="20"/>
        </w:rPr>
      </w:pPr>
      <w:r>
        <w:rPr>
          <w:rFonts w:ascii="Verdana" w:hAnsi="Verdana"/>
          <w:sz w:val="20"/>
        </w:rPr>
        <w:t>Amount of equipment cash expense dep</w:t>
      </w:r>
      <w:r>
        <w:rPr>
          <w:rFonts w:ascii="Verdana" w:hAnsi="Verdana"/>
          <w:sz w:val="20"/>
        </w:rPr>
        <w:t>ends on whether the planned capital expenditure exceeds a predetermined threshold.  If the expenditure exceed the threshold, portion of the expenditure will be debt-financed and the cash portion will be included in that year’s equipment expenses.  If the e</w:t>
      </w:r>
      <w:r>
        <w:rPr>
          <w:rFonts w:ascii="Verdana" w:hAnsi="Verdana"/>
          <w:sz w:val="20"/>
        </w:rPr>
        <w:t>xpenditure is less than the threshold, the equipment will be paid by all cash.  The model uses this formula to determine equipment purchase cash outlay during the year:</w:t>
      </w:r>
    </w:p>
    <w:p w:rsidR="00691244" w:rsidRDefault="008D5A09" w:rsidP="00691244">
      <w:pPr>
        <w:rPr>
          <w:rFonts w:ascii="Verdana" w:hAnsi="Verdana"/>
          <w:sz w:val="20"/>
        </w:rPr>
      </w:pPr>
      <w:r w:rsidRPr="009406F9">
        <w:rPr>
          <w:rFonts w:ascii="Verdana" w:hAnsi="Verdana"/>
          <w:sz w:val="20"/>
        </w:rPr>
        <w:t>IF(DeptEqptPY&gt;DebtFinThreshold,LabOpFinanced*DeptEqptPY,DeptEqptPY)/1000</w:t>
      </w:r>
    </w:p>
    <w:p w:rsidR="00691244" w:rsidRDefault="008D5A09" w:rsidP="00691244">
      <w:pPr>
        <w:rPr>
          <w:rFonts w:ascii="Verdana" w:hAnsi="Verdana"/>
          <w:sz w:val="20"/>
        </w:rPr>
      </w:pPr>
    </w:p>
    <w:p w:rsidR="00691244" w:rsidRDefault="008D5A09" w:rsidP="00691244">
      <w:pPr>
        <w:rPr>
          <w:rFonts w:ascii="Verdana" w:hAnsi="Verdana"/>
          <w:sz w:val="20"/>
        </w:rPr>
      </w:pPr>
      <w:r>
        <w:rPr>
          <w:rFonts w:ascii="Verdana" w:hAnsi="Verdana"/>
          <w:sz w:val="20"/>
        </w:rPr>
        <w:t>Annual paymen</w:t>
      </w:r>
      <w:r>
        <w:rPr>
          <w:rFonts w:ascii="Verdana" w:hAnsi="Verdana"/>
          <w:sz w:val="20"/>
        </w:rPr>
        <w:t xml:space="preserve">t for equipment purchased during the year is calculated using this formula:    </w:t>
      </w:r>
    </w:p>
    <w:p w:rsidR="00691244" w:rsidRDefault="008D5A09" w:rsidP="00691244">
      <w:pPr>
        <w:rPr>
          <w:rFonts w:ascii="Verdana" w:hAnsi="Verdana"/>
          <w:sz w:val="20"/>
        </w:rPr>
      </w:pPr>
      <w:r>
        <w:rPr>
          <w:rFonts w:ascii="Verdana" w:hAnsi="Verdana"/>
          <w:sz w:val="20"/>
        </w:rPr>
        <w:t>PMT(LabOpDebtSrvc,</w:t>
      </w:r>
      <w:r w:rsidRPr="00217B22">
        <w:t xml:space="preserve"> </w:t>
      </w:r>
      <w:r w:rsidRPr="00217B22">
        <w:rPr>
          <w:rFonts w:ascii="Verdana" w:hAnsi="Verdana"/>
          <w:sz w:val="20"/>
        </w:rPr>
        <w:t>EqptFinPeriods</w:t>
      </w:r>
      <w:r w:rsidRPr="00765237">
        <w:rPr>
          <w:rFonts w:ascii="Verdana" w:hAnsi="Verdana"/>
          <w:sz w:val="20"/>
        </w:rPr>
        <w:t>,-DeptEqptFinanced)</w:t>
      </w:r>
    </w:p>
    <w:p w:rsidR="00691244" w:rsidRDefault="008D5A09" w:rsidP="00691244">
      <w:pPr>
        <w:rPr>
          <w:rFonts w:ascii="Verdana" w:hAnsi="Verdana"/>
          <w:sz w:val="20"/>
        </w:rPr>
      </w:pPr>
    </w:p>
    <w:p w:rsidR="00691244" w:rsidRDefault="008D5A09" w:rsidP="00691244">
      <w:pPr>
        <w:rPr>
          <w:rFonts w:ascii="Verdana" w:hAnsi="Verdana"/>
          <w:sz w:val="20"/>
        </w:rPr>
      </w:pPr>
      <w:r>
        <w:rPr>
          <w:rFonts w:ascii="Verdana" w:hAnsi="Verdana"/>
          <w:sz w:val="20"/>
        </w:rPr>
        <w:t>Annual debt payment, including unpaid portion from prior years, is calculated using this formula:</w:t>
      </w:r>
    </w:p>
    <w:p w:rsidR="00691244" w:rsidRDefault="008D5A09" w:rsidP="00691244">
      <w:pPr>
        <w:rPr>
          <w:rFonts w:ascii="Verdana" w:hAnsi="Verdana"/>
          <w:sz w:val="20"/>
        </w:rPr>
      </w:pPr>
      <w:r>
        <w:rPr>
          <w:rFonts w:ascii="Verdana" w:hAnsi="Verdana"/>
          <w:sz w:val="20"/>
        </w:rPr>
        <w:t>IF(YearRow&gt;YearColumn-</w:t>
      </w:r>
      <w:r w:rsidRPr="003F1380">
        <w:rPr>
          <w:rFonts w:ascii="Verdana" w:hAnsi="Verdana"/>
          <w:sz w:val="20"/>
        </w:rPr>
        <w:t>1,</w:t>
      </w:r>
      <w:r w:rsidRPr="003F1380">
        <w:rPr>
          <w:rFonts w:ascii="Verdana" w:hAnsi="Verdana"/>
          <w:sz w:val="20"/>
        </w:rPr>
        <w:t>1,0)*</w:t>
      </w:r>
    </w:p>
    <w:p w:rsidR="00691244" w:rsidRDefault="008D5A09" w:rsidP="00691244">
      <w:pPr>
        <w:rPr>
          <w:rFonts w:ascii="Verdana" w:hAnsi="Verdana"/>
          <w:sz w:val="20"/>
        </w:rPr>
      </w:pPr>
      <w:r>
        <w:rPr>
          <w:rFonts w:ascii="Verdana" w:hAnsi="Verdana"/>
          <w:sz w:val="20"/>
        </w:rPr>
        <w:t xml:space="preserve">  </w:t>
      </w:r>
      <w:r w:rsidRPr="003F1380">
        <w:rPr>
          <w:rFonts w:ascii="Verdana" w:hAnsi="Verdana"/>
          <w:sz w:val="20"/>
        </w:rPr>
        <w:t>IF(YearColumn+EqptFinPeriods&gt;YearRow,1,0)*TRANSPOSE(DeptEqptPmtsPY)</w:t>
      </w:r>
    </w:p>
    <w:p w:rsidR="00691244" w:rsidRDefault="008D5A09" w:rsidP="00691244">
      <w:pPr>
        <w:rPr>
          <w:rFonts w:ascii="Verdana" w:hAnsi="Verdana"/>
          <w:sz w:val="20"/>
        </w:rPr>
      </w:pPr>
    </w:p>
    <w:p w:rsidR="00691244" w:rsidRDefault="008D5A09" w:rsidP="00691244">
      <w:pPr>
        <w:rPr>
          <w:rFonts w:ascii="Verdana" w:hAnsi="Verdana"/>
          <w:sz w:val="20"/>
        </w:rPr>
      </w:pPr>
      <w:r>
        <w:rPr>
          <w:rFonts w:ascii="Verdana" w:hAnsi="Verdana"/>
          <w:sz w:val="20"/>
        </w:rPr>
        <w:t>Start-up expenses for faculty are calculated by spreading individual faculty start-up package amount over a number of years base on each member’s withdrawal rate.  First, a withdr</w:t>
      </w:r>
      <w:r>
        <w:rPr>
          <w:rFonts w:ascii="Verdana" w:hAnsi="Verdana"/>
          <w:sz w:val="20"/>
        </w:rPr>
        <w:t>awal schedule based on faculty seniority is calculated using this formula:</w:t>
      </w:r>
    </w:p>
    <w:p w:rsidR="00691244" w:rsidRDefault="008D5A09" w:rsidP="00691244">
      <w:pPr>
        <w:rPr>
          <w:rFonts w:ascii="Verdana" w:hAnsi="Verdana"/>
          <w:sz w:val="20"/>
        </w:rPr>
      </w:pPr>
      <w:r w:rsidRPr="00FD7A15">
        <w:rPr>
          <w:rFonts w:ascii="Verdana" w:hAnsi="Verdana"/>
          <w:sz w:val="20"/>
        </w:rPr>
        <w:t>IF(YearinPosition&lt;StartUpYrsDeplete,StartUpDrawDownPY, IF(YearinPosition=CEILING(StartUpYrsDeplete,1),StartUpLastYrPay, IF(YearinPosition&gt;CEILING(StartUpYrsDeplete,1),0)))</w:t>
      </w:r>
    </w:p>
    <w:p w:rsidR="00691244" w:rsidRPr="00FD7A15" w:rsidRDefault="008D5A09" w:rsidP="00691244">
      <w:pPr>
        <w:rPr>
          <w:rFonts w:ascii="Verdana" w:hAnsi="Verdana"/>
          <w:sz w:val="20"/>
        </w:rPr>
      </w:pPr>
      <w:r>
        <w:rPr>
          <w:rFonts w:ascii="Verdana" w:hAnsi="Verdana"/>
          <w:sz w:val="20"/>
        </w:rPr>
        <w:t>Then, thi</w:t>
      </w:r>
      <w:r>
        <w:rPr>
          <w:rFonts w:ascii="Verdana" w:hAnsi="Verdana"/>
          <w:sz w:val="20"/>
        </w:rPr>
        <w:t xml:space="preserve">s withdrawal schedule is applied to hiring streams.  For existing faculty members, their actual withdrawal schedule is calculated using this formula:  </w:t>
      </w:r>
    </w:p>
    <w:p w:rsidR="00691244" w:rsidRDefault="008D5A09" w:rsidP="00691244">
      <w:pPr>
        <w:rPr>
          <w:rFonts w:ascii="Verdana" w:hAnsi="Verdana"/>
          <w:sz w:val="20"/>
        </w:rPr>
      </w:pPr>
      <w:r>
        <w:rPr>
          <w:rFonts w:ascii="Verdana" w:hAnsi="Verdana"/>
          <w:sz w:val="20"/>
        </w:rPr>
        <w:t xml:space="preserve">OFFSET(StartUpAnalysisExist,0,0,4,12) </w:t>
      </w:r>
    </w:p>
    <w:p w:rsidR="00691244" w:rsidRDefault="008D5A09" w:rsidP="00691244">
      <w:pPr>
        <w:rPr>
          <w:rFonts w:ascii="Verdana" w:hAnsi="Verdana"/>
          <w:sz w:val="20"/>
        </w:rPr>
      </w:pPr>
      <w:r>
        <w:rPr>
          <w:rFonts w:ascii="Verdana" w:hAnsi="Verdana"/>
          <w:sz w:val="20"/>
        </w:rPr>
        <w:t>For new recruits, the withdrawal schedule is convolve with new se</w:t>
      </w:r>
      <w:r>
        <w:rPr>
          <w:rFonts w:ascii="Verdana" w:hAnsi="Verdana"/>
          <w:sz w:val="20"/>
        </w:rPr>
        <w:t>nior and junior recruit hiring streams as follows:</w:t>
      </w:r>
    </w:p>
    <w:p w:rsidR="00691244" w:rsidRDefault="008D5A09" w:rsidP="00691244">
      <w:pPr>
        <w:rPr>
          <w:rFonts w:ascii="Verdana" w:hAnsi="Verdana"/>
          <w:sz w:val="20"/>
        </w:rPr>
      </w:pPr>
      <w:r w:rsidRPr="00056CE6">
        <w:rPr>
          <w:rFonts w:ascii="Verdana" w:hAnsi="Verdana"/>
          <w:sz w:val="20"/>
        </w:rPr>
        <w:t>CONVOLVE(TotalSrRecruitsPY,StartUpAnalysisSrRec)</w:t>
      </w:r>
    </w:p>
    <w:p w:rsidR="00691244" w:rsidRDefault="008D5A09" w:rsidP="00691244">
      <w:pPr>
        <w:rPr>
          <w:rFonts w:ascii="Verdana" w:hAnsi="Verdana"/>
          <w:sz w:val="20"/>
        </w:rPr>
      </w:pPr>
      <w:r w:rsidRPr="000E0F73">
        <w:rPr>
          <w:rFonts w:ascii="Verdana" w:hAnsi="Verdana"/>
          <w:sz w:val="20"/>
        </w:rPr>
        <w:t>CONVOLVE(TotalJrFacPY,StartUpAnalysisJrRec)</w:t>
      </w:r>
    </w:p>
    <w:p w:rsidR="00691244" w:rsidRDefault="008D5A09" w:rsidP="00691244">
      <w:pPr>
        <w:rPr>
          <w:rFonts w:ascii="Verdana" w:hAnsi="Verdana"/>
          <w:sz w:val="20"/>
        </w:rPr>
      </w:pPr>
    </w:p>
    <w:p w:rsidR="00691244" w:rsidRDefault="008D5A09" w:rsidP="00691244">
      <w:pPr>
        <w:rPr>
          <w:rFonts w:ascii="Verdana" w:hAnsi="Verdana"/>
          <w:sz w:val="20"/>
        </w:rPr>
      </w:pPr>
      <w:r>
        <w:rPr>
          <w:rFonts w:ascii="Verdana" w:hAnsi="Verdana"/>
          <w:sz w:val="20"/>
        </w:rPr>
        <w:t>Space costs consist of investment required to acquire, maintain and renovate both wet space (i.e. laboratory) a</w:t>
      </w:r>
      <w:r>
        <w:rPr>
          <w:rFonts w:ascii="Verdana" w:hAnsi="Verdana"/>
          <w:sz w:val="20"/>
        </w:rPr>
        <w:t xml:space="preserve">nd dry space (i.e. office).  Both wet and dry space expenses are the sum of renovation expenses, renewal expenses and maintenance costs. Renovation expense is a sum of cash outlay and finance payment.  Renewal expense is calculated based on this equation: </w:t>
      </w:r>
    </w:p>
    <w:p w:rsidR="00691244" w:rsidRDefault="008D5A09" w:rsidP="00691244">
      <w:pPr>
        <w:rPr>
          <w:rFonts w:ascii="Verdana" w:hAnsi="Verdana"/>
          <w:sz w:val="20"/>
        </w:rPr>
      </w:pPr>
      <w:r>
        <w:rPr>
          <w:rFonts w:ascii="Verdana" w:hAnsi="Verdana"/>
          <w:sz w:val="20"/>
        </w:rPr>
        <w:t>IF (YearRow&lt;Renewal, 0, INDEX(FutureDryRenewalInvest,(YearRow-Renewal+1)))</w:t>
      </w:r>
    </w:p>
    <w:p w:rsidR="00691244" w:rsidRDefault="008D5A09" w:rsidP="00691244">
      <w:pPr>
        <w:rPr>
          <w:rFonts w:ascii="Verdana" w:hAnsi="Verdana"/>
          <w:sz w:val="20"/>
        </w:rPr>
      </w:pPr>
      <w:r>
        <w:rPr>
          <w:rFonts w:ascii="Verdana" w:hAnsi="Verdana"/>
          <w:sz w:val="20"/>
        </w:rPr>
        <w:t>Maintenance cost is calculated by multiplying inflation adjusted maintenance cost analysis by cumulative space analysis.</w:t>
      </w:r>
    </w:p>
    <w:p w:rsidR="00691244" w:rsidRDefault="008D5A09" w:rsidP="00691244">
      <w:pPr>
        <w:rPr>
          <w:rFonts w:ascii="Verdana" w:hAnsi="Verdana"/>
          <w:sz w:val="20"/>
        </w:rPr>
      </w:pPr>
    </w:p>
    <w:p w:rsidR="00691244" w:rsidRDefault="008D5A09" w:rsidP="00691244">
      <w:pPr>
        <w:rPr>
          <w:rFonts w:ascii="Verdana" w:hAnsi="Verdana"/>
          <w:sz w:val="20"/>
        </w:rPr>
      </w:pPr>
      <w:r>
        <w:rPr>
          <w:rFonts w:ascii="Verdana" w:hAnsi="Verdana"/>
          <w:sz w:val="20"/>
        </w:rPr>
        <w:t>Administrative costs are indirect costs expressed as a per</w:t>
      </w:r>
      <w:r>
        <w:rPr>
          <w:rFonts w:ascii="Verdana" w:hAnsi="Verdana"/>
          <w:sz w:val="20"/>
        </w:rPr>
        <w:t>centage of total expenses excluding cost of space:</w:t>
      </w:r>
    </w:p>
    <w:p w:rsidR="00691244" w:rsidRDefault="008D5A09" w:rsidP="00691244">
      <w:pPr>
        <w:ind w:left="2280" w:hanging="2280"/>
        <w:rPr>
          <w:rFonts w:ascii="Verdana" w:hAnsi="Verdana"/>
          <w:sz w:val="20"/>
        </w:rPr>
      </w:pPr>
      <w:r>
        <w:rPr>
          <w:rFonts w:ascii="Verdana" w:hAnsi="Verdana"/>
          <w:sz w:val="20"/>
        </w:rPr>
        <w:t>Administrative costs = administrative cost rate × (total faculty benefits + total laboratory operation expenses)</w:t>
      </w:r>
    </w:p>
    <w:p w:rsidR="00691244" w:rsidRDefault="008D5A09" w:rsidP="00691244">
      <w:pPr>
        <w:rPr>
          <w:rFonts w:ascii="Verdana" w:hAnsi="Verdana"/>
          <w:sz w:val="20"/>
        </w:rPr>
      </w:pPr>
      <w:r>
        <w:rPr>
          <w:rFonts w:ascii="Verdana" w:hAnsi="Verdana"/>
          <w:sz w:val="20"/>
        </w:rPr>
        <w:t>Calculation of total faculty benefits and total laboratory operation expenses are outlined a</w:t>
      </w:r>
      <w:r>
        <w:rPr>
          <w:rFonts w:ascii="Verdana" w:hAnsi="Verdana"/>
          <w:sz w:val="20"/>
        </w:rPr>
        <w:t>bove.  Administrative cost rate is user input parameter AdminCostsRate defined in InputsParameters worksheet.  Administrative costs model generates two results, total administrative costs and cumulative administrative costs, used for calculating total expe</w:t>
      </w:r>
      <w:r>
        <w:rPr>
          <w:rFonts w:ascii="Verdana" w:hAnsi="Verdana"/>
          <w:sz w:val="20"/>
        </w:rPr>
        <w:t>nses in Summary worksheet.</w:t>
      </w:r>
    </w:p>
    <w:p w:rsidR="00691244" w:rsidRDefault="008D5A09" w:rsidP="00691244">
      <w:pPr>
        <w:rPr>
          <w:rFonts w:ascii="Verdana" w:hAnsi="Verdana"/>
          <w:sz w:val="20"/>
        </w:rPr>
      </w:pPr>
      <w:r>
        <w:rPr>
          <w:rFonts w:ascii="Verdana" w:hAnsi="Verdana"/>
          <w:sz w:val="20"/>
        </w:rPr>
        <w:t>To summarize, required investment = (faculty benefits + lab operations expense + space expense + admin expense) – (sponsored research grants + endowment distribution)</w:t>
      </w:r>
    </w:p>
    <w:p w:rsidR="00691244" w:rsidRDefault="008D5A09" w:rsidP="00691244">
      <w:pPr>
        <w:rPr>
          <w:rFonts w:ascii="Verdana" w:hAnsi="Verdana"/>
          <w:sz w:val="20"/>
        </w:rPr>
      </w:pPr>
    </w:p>
    <w:p w:rsidR="00691244" w:rsidRDefault="008D5A09" w:rsidP="00691244">
      <w:pPr>
        <w:pStyle w:val="ListParagraph"/>
        <w:ind w:left="0"/>
        <w:rPr>
          <w:rFonts w:ascii="Verdana" w:hAnsi="Verdana"/>
          <w:b/>
          <w:sz w:val="20"/>
        </w:rPr>
      </w:pPr>
      <w:r>
        <w:rPr>
          <w:rFonts w:ascii="Verdana" w:hAnsi="Verdana"/>
          <w:b/>
          <w:sz w:val="20"/>
        </w:rPr>
        <w:t>2. How to locate inputs, outputs and intermediate results</w:t>
      </w:r>
    </w:p>
    <w:p w:rsidR="00691244" w:rsidRDefault="008D5A09" w:rsidP="00691244">
      <w:pPr>
        <w:pStyle w:val="ListParagraph"/>
        <w:ind w:left="0"/>
        <w:rPr>
          <w:rFonts w:ascii="Verdana" w:hAnsi="Verdana"/>
          <w:sz w:val="20"/>
        </w:rPr>
      </w:pPr>
      <w:r>
        <w:rPr>
          <w:rFonts w:ascii="Verdana" w:hAnsi="Verdana"/>
          <w:sz w:val="20"/>
        </w:rPr>
        <w:t>Sci</w:t>
      </w:r>
      <w:r>
        <w:rPr>
          <w:rFonts w:ascii="Verdana" w:hAnsi="Verdana"/>
          <w:sz w:val="20"/>
        </w:rPr>
        <w:t>Dept uses names to represent inputs, outputs and intermediate results to aid users and maintainers to locate and customize the model.  This section describes important names used by the model. A complete list of names and their purposes can be found in the</w:t>
      </w:r>
      <w:r>
        <w:rPr>
          <w:rFonts w:ascii="Verdana" w:hAnsi="Verdana"/>
          <w:sz w:val="20"/>
        </w:rPr>
        <w:t xml:space="preserve"> appendix </w:t>
      </w:r>
      <w:r w:rsidRPr="003C56E1">
        <w:rPr>
          <w:rFonts w:ascii="Verdana" w:hAnsi="Verdana"/>
          <w:sz w:val="20"/>
          <w:szCs w:val="20"/>
        </w:rPr>
        <w:fldChar w:fldCharType="begin"/>
      </w:r>
      <w:r w:rsidRPr="003C56E1">
        <w:rPr>
          <w:rFonts w:ascii="Verdana" w:hAnsi="Verdana"/>
          <w:sz w:val="20"/>
          <w:szCs w:val="20"/>
        </w:rPr>
        <w:instrText xml:space="preserve"> REF _Ref280131793 \h </w:instrText>
      </w:r>
      <w:r w:rsidRPr="003C56E1">
        <w:rPr>
          <w:rFonts w:ascii="Verdana" w:hAnsi="Verdana"/>
          <w:sz w:val="20"/>
          <w:szCs w:val="20"/>
        </w:rPr>
      </w:r>
      <w:r w:rsidRPr="003C56E1">
        <w:rPr>
          <w:rFonts w:ascii="Verdana" w:hAnsi="Verdana"/>
          <w:sz w:val="20"/>
          <w:szCs w:val="20"/>
        </w:rPr>
        <w:instrText xml:space="preserve"> \* MERGEFORMAT </w:instrText>
      </w:r>
      <w:r w:rsidRPr="003C56E1">
        <w:rPr>
          <w:rFonts w:ascii="Verdana" w:hAnsi="Verdana"/>
          <w:sz w:val="20"/>
          <w:szCs w:val="20"/>
        </w:rPr>
        <w:fldChar w:fldCharType="separate"/>
      </w:r>
      <w:r w:rsidRPr="003C56E1">
        <w:rPr>
          <w:rFonts w:ascii="Verdana" w:hAnsi="Verdana"/>
          <w:sz w:val="20"/>
          <w:szCs w:val="20"/>
        </w:rPr>
        <w:t>Table</w:t>
      </w:r>
      <w:r w:rsidRPr="003C56E1">
        <w:rPr>
          <w:rFonts w:ascii="Verdana" w:hAnsi="Verdana"/>
          <w:b/>
          <w:sz w:val="20"/>
          <w:szCs w:val="20"/>
        </w:rPr>
        <w:t xml:space="preserve"> </w:t>
      </w:r>
      <w:r w:rsidRPr="003C56E1">
        <w:rPr>
          <w:rFonts w:ascii="Verdana" w:hAnsi="Verdana"/>
          <w:noProof/>
          <w:sz w:val="20"/>
          <w:szCs w:val="20"/>
        </w:rPr>
        <w:t>1</w:t>
      </w:r>
      <w:r w:rsidRPr="003C56E1">
        <w:rPr>
          <w:rFonts w:ascii="Verdana" w:hAnsi="Verdana"/>
          <w:sz w:val="20"/>
          <w:szCs w:val="20"/>
        </w:rPr>
        <w:fldChar w:fldCharType="end"/>
      </w:r>
      <w:r>
        <w:rPr>
          <w:rFonts w:ascii="Verdana" w:hAnsi="Verdana"/>
          <w:sz w:val="20"/>
        </w:rPr>
        <w:t>.  Beside names, visual cues are also used and they are described in next section.</w:t>
      </w:r>
    </w:p>
    <w:p w:rsidR="00691244" w:rsidRDefault="008D5A09" w:rsidP="00691244">
      <w:pPr>
        <w:pStyle w:val="ListParagraph"/>
        <w:ind w:left="0"/>
        <w:rPr>
          <w:rFonts w:ascii="Verdana" w:hAnsi="Verdana"/>
          <w:sz w:val="20"/>
        </w:rPr>
      </w:pPr>
      <w:r>
        <w:rPr>
          <w:rFonts w:ascii="Verdana" w:hAnsi="Verdana"/>
          <w:sz w:val="20"/>
        </w:rPr>
        <w:t>SciDept worksheets are organized according to the components that make up the equation:  required investment = (fa</w:t>
      </w:r>
      <w:r>
        <w:rPr>
          <w:rFonts w:ascii="Verdana" w:hAnsi="Verdana"/>
          <w:sz w:val="20"/>
        </w:rPr>
        <w:t>culty benefits + lab operations expense + space expense + admin expense) – (sponsored research grants + endowment distribution)</w:t>
      </w:r>
    </w:p>
    <w:p w:rsidR="00691244" w:rsidRDefault="008D5A09" w:rsidP="00691244">
      <w:pPr>
        <w:pStyle w:val="ListParagraph"/>
        <w:ind w:left="0"/>
        <w:rPr>
          <w:rFonts w:ascii="Verdana" w:hAnsi="Verdana"/>
          <w:sz w:val="20"/>
        </w:rPr>
      </w:pPr>
      <w:r>
        <w:rPr>
          <w:rFonts w:ascii="Verdana" w:hAnsi="Verdana"/>
          <w:sz w:val="20"/>
        </w:rPr>
        <w:t>All input streams and parameters for SciDept are stored in InputsParameters</w:t>
      </w:r>
      <w:r w:rsidRPr="00F25DF8">
        <w:rPr>
          <w:rFonts w:ascii="Verdana" w:hAnsi="Verdana"/>
          <w:sz w:val="20"/>
        </w:rPr>
        <w:t xml:space="preserve"> </w:t>
      </w:r>
      <w:r>
        <w:rPr>
          <w:rFonts w:ascii="Verdana" w:hAnsi="Verdana"/>
          <w:sz w:val="20"/>
        </w:rPr>
        <w:t xml:space="preserve">worksheet.  </w:t>
      </w:r>
    </w:p>
    <w:p w:rsidR="00691244" w:rsidRDefault="008D5A09" w:rsidP="00691244">
      <w:pPr>
        <w:pStyle w:val="ListParagraph"/>
        <w:ind w:left="0"/>
        <w:rPr>
          <w:rFonts w:ascii="Verdana" w:hAnsi="Verdana"/>
          <w:sz w:val="20"/>
        </w:rPr>
      </w:pPr>
      <w:r>
        <w:rPr>
          <w:rFonts w:ascii="Verdana" w:hAnsi="Verdana"/>
          <w:sz w:val="20"/>
        </w:rPr>
        <w:t xml:space="preserve">This worksheet organizes into sections </w:t>
      </w:r>
      <w:r>
        <w:rPr>
          <w:rFonts w:ascii="Verdana" w:hAnsi="Verdana"/>
          <w:sz w:val="20"/>
        </w:rPr>
        <w:t>in this order: faculty growth, faculty salary, space, laboratory operations, administrative costs, sponsored revenue and endowment revenue.  Senior and junior faculty growth data are represented by SrFacRec and JrFacRec arrays respectively. Faculty salarie</w:t>
      </w:r>
      <w:r>
        <w:rPr>
          <w:rFonts w:ascii="Verdana" w:hAnsi="Verdana"/>
          <w:sz w:val="20"/>
        </w:rPr>
        <w:t>s are individual cells storing individual faculty members’ starting salary. Following the starting salary inputs are the hard-funded benefits, fringe and benefit inflation rate, represented by SrFacSalHardRate, JrFacSalHardRate, Fringe and Inflation repect</w:t>
      </w:r>
      <w:r>
        <w:rPr>
          <w:rFonts w:ascii="Verdana" w:hAnsi="Verdana"/>
          <w:sz w:val="20"/>
        </w:rPr>
        <w:t>ively.  In Space Inputs section, SpaceStreamWet and SpaceStreamDry are ranges representing wet (laboratory) and dry (office) space required by the department in the projected period. Following SpaceStreamWet and SpaceStreamDry are other inputs required for</w:t>
      </w:r>
      <w:r>
        <w:rPr>
          <w:rFonts w:ascii="Verdana" w:hAnsi="Verdana"/>
          <w:sz w:val="20"/>
        </w:rPr>
        <w:t xml:space="preserve"> calculating space expenses.  Next input section is Lab. Operation Inputs.  This section stores input for calculating laboratory operations expenses.  Lab costs for existing faculty are named separately from those for senior and junior recruits.  Start-up </w:t>
      </w:r>
      <w:r>
        <w:rPr>
          <w:rFonts w:ascii="Verdana" w:hAnsi="Verdana"/>
          <w:sz w:val="20"/>
        </w:rPr>
        <w:t>package for different faculty are named individually as well. Projected Department Equipment investment is named range DeptEqptPY.</w:t>
      </w:r>
    </w:p>
    <w:p w:rsidR="00691244" w:rsidRDefault="008D5A09" w:rsidP="00691244">
      <w:pPr>
        <w:pStyle w:val="ListParagraph"/>
        <w:ind w:left="0"/>
        <w:rPr>
          <w:rFonts w:ascii="Verdana" w:hAnsi="Verdana"/>
          <w:sz w:val="20"/>
        </w:rPr>
      </w:pPr>
      <w:r>
        <w:rPr>
          <w:rFonts w:ascii="Verdana" w:hAnsi="Verdana"/>
          <w:sz w:val="20"/>
        </w:rPr>
        <w:t>AdminCostsRate is a percentage used for calculating administrative costs.</w:t>
      </w:r>
    </w:p>
    <w:p w:rsidR="00691244" w:rsidRDefault="008D5A09" w:rsidP="00691244">
      <w:pPr>
        <w:pStyle w:val="ListParagraph"/>
        <w:ind w:left="0"/>
        <w:rPr>
          <w:rFonts w:ascii="Verdana" w:hAnsi="Verdana"/>
          <w:sz w:val="20"/>
        </w:rPr>
      </w:pPr>
      <w:r>
        <w:rPr>
          <w:rFonts w:ascii="Verdana" w:hAnsi="Verdana"/>
          <w:sz w:val="20"/>
        </w:rPr>
        <w:t>Sponsored Revenue Inputs stores input parameters fo</w:t>
      </w:r>
      <w:r>
        <w:rPr>
          <w:rFonts w:ascii="Verdana" w:hAnsi="Verdana"/>
          <w:sz w:val="20"/>
        </w:rPr>
        <w:t>r calculating sponsored research grants.  GrantSucessAvg is the range for storing average success rate for senior and junior faculty.  GrantAmount is the range for storing average number of grants submitted annually by senior and junior faculty.  Finally G</w:t>
      </w:r>
      <w:r>
        <w:rPr>
          <w:rFonts w:ascii="Verdana" w:hAnsi="Verdana"/>
          <w:sz w:val="20"/>
        </w:rPr>
        <w:t>rantAmountAvg stores average grant amount received from sponsored annually.  FederalIndirectRateFacility and FederalIndirectRateAdmin store annual negotiated Federal indirect rate for facility and administrative expenses respectively.  GrantInflation store</w:t>
      </w:r>
      <w:r>
        <w:rPr>
          <w:rFonts w:ascii="Verdana" w:hAnsi="Verdana"/>
          <w:sz w:val="20"/>
        </w:rPr>
        <w:t>s assumed inflation rate for grant amount.</w:t>
      </w:r>
    </w:p>
    <w:p w:rsidR="00691244" w:rsidRDefault="008D5A09" w:rsidP="00691244">
      <w:pPr>
        <w:pStyle w:val="ListParagraph"/>
        <w:ind w:left="0"/>
        <w:rPr>
          <w:rFonts w:ascii="Verdana" w:hAnsi="Verdana"/>
          <w:sz w:val="20"/>
        </w:rPr>
      </w:pPr>
      <w:r>
        <w:rPr>
          <w:rFonts w:ascii="Verdana" w:hAnsi="Verdana"/>
          <w:sz w:val="20"/>
        </w:rPr>
        <w:t xml:space="preserve">Endowment Revenue Inputs section stores initial endowment for individual faculty, projected annual return and distribution rates.  EndowmentReturn stores return rate and DistributionRate stores distribution rate. </w:t>
      </w:r>
      <w:r>
        <w:rPr>
          <w:rFonts w:ascii="Verdana" w:hAnsi="Verdana"/>
          <w:sz w:val="20"/>
        </w:rPr>
        <w:t xml:space="preserve"> EndowmentReturn is to be modified for different scenarios.</w:t>
      </w:r>
    </w:p>
    <w:p w:rsidR="00691244" w:rsidRDefault="008D5A09" w:rsidP="00691244">
      <w:pPr>
        <w:pStyle w:val="ListParagraph"/>
        <w:ind w:left="0"/>
        <w:rPr>
          <w:rFonts w:ascii="Verdana" w:hAnsi="Verdana"/>
          <w:sz w:val="20"/>
        </w:rPr>
      </w:pPr>
      <w:r>
        <w:rPr>
          <w:rFonts w:ascii="Verdana" w:hAnsi="Verdana"/>
          <w:sz w:val="20"/>
        </w:rPr>
        <w:t>Faculty growth schedule is modeled in FacGrowth worksheet.  Important intermediate results are total and cumulative hiring schedule for senior and junior faculty members, represented by TotalSrFac</w:t>
      </w:r>
      <w:r>
        <w:rPr>
          <w:rFonts w:ascii="Verdana" w:hAnsi="Verdana"/>
          <w:sz w:val="20"/>
        </w:rPr>
        <w:t>PY, CumSrFacPY, TotalJrFacPY and CumJrFacPY.</w:t>
      </w:r>
    </w:p>
    <w:p w:rsidR="00691244" w:rsidRDefault="008D5A09" w:rsidP="00691244">
      <w:pPr>
        <w:rPr>
          <w:rFonts w:ascii="Verdana" w:hAnsi="Verdana"/>
          <w:sz w:val="20"/>
        </w:rPr>
      </w:pPr>
      <w:r>
        <w:rPr>
          <w:rFonts w:ascii="Verdana" w:hAnsi="Verdana"/>
          <w:sz w:val="20"/>
        </w:rPr>
        <w:t>Faculty benefits are modeled in FacSal worksheet.  SrFacSalary and JrFacSalary are salary scheme for faculty members.  Two important intermediate results are total and cumulative inflation adjusted benefits, rep</w:t>
      </w:r>
      <w:r>
        <w:rPr>
          <w:rFonts w:ascii="Verdana" w:hAnsi="Verdana"/>
          <w:sz w:val="20"/>
        </w:rPr>
        <w:t>resented by AnnFacSalFringe and CumFacSalFringe respectively.</w:t>
      </w:r>
    </w:p>
    <w:p w:rsidR="00691244" w:rsidRDefault="008D5A09" w:rsidP="00691244">
      <w:pPr>
        <w:rPr>
          <w:rFonts w:ascii="Verdana" w:hAnsi="Verdana"/>
          <w:sz w:val="20"/>
        </w:rPr>
      </w:pPr>
    </w:p>
    <w:p w:rsidR="00691244" w:rsidRDefault="008D5A09" w:rsidP="00691244">
      <w:pPr>
        <w:rPr>
          <w:rFonts w:ascii="Verdana" w:hAnsi="Verdana"/>
          <w:sz w:val="20"/>
        </w:rPr>
      </w:pPr>
      <w:r>
        <w:rPr>
          <w:rFonts w:ascii="Verdana" w:hAnsi="Verdana"/>
          <w:sz w:val="20"/>
        </w:rPr>
        <w:t>Laboratory operations expenses are modeled in LabOps worksheet.  The worksheet breaks down into five sections.  They are senior, junior faculty laboratory expenses, department equipment investm</w:t>
      </w:r>
      <w:r>
        <w:rPr>
          <w:rFonts w:ascii="Verdana" w:hAnsi="Verdana"/>
          <w:sz w:val="20"/>
        </w:rPr>
        <w:t>ent, startup expenses and summary.  Summary section includes total and cumulative operations expenses which contribute to the total expenses in the Summary worksheet.</w:t>
      </w:r>
    </w:p>
    <w:p w:rsidR="00691244" w:rsidRDefault="008D5A09" w:rsidP="00691244">
      <w:pPr>
        <w:rPr>
          <w:rFonts w:ascii="Verdana" w:hAnsi="Verdana"/>
          <w:sz w:val="20"/>
        </w:rPr>
      </w:pPr>
    </w:p>
    <w:p w:rsidR="00691244" w:rsidRDefault="008D5A09" w:rsidP="00691244">
      <w:pPr>
        <w:rPr>
          <w:rFonts w:ascii="Verdana" w:hAnsi="Verdana"/>
          <w:sz w:val="20"/>
        </w:rPr>
      </w:pPr>
      <w:r>
        <w:rPr>
          <w:rFonts w:ascii="Verdana" w:hAnsi="Verdana"/>
          <w:sz w:val="20"/>
        </w:rPr>
        <w:t>Space expenses are modeled in Space worksheet.  Main inputs are specified in InputsParam</w:t>
      </w:r>
      <w:r>
        <w:rPr>
          <w:rFonts w:ascii="Verdana" w:hAnsi="Verdana"/>
          <w:sz w:val="20"/>
        </w:rPr>
        <w:t xml:space="preserve">eters worksheet Space Inputs section.  The worksheet breaks down into two sections for calculating wet (laboratory) space expenses and dry (office) space expenses with a summary section at the end.  Space worksheet outputs TotalSpaceExp and CumSpaceExp as </w:t>
      </w:r>
      <w:r>
        <w:rPr>
          <w:rFonts w:ascii="Verdana" w:hAnsi="Verdana"/>
          <w:sz w:val="20"/>
        </w:rPr>
        <w:t>input to Summary page for calculating total expenses.</w:t>
      </w:r>
    </w:p>
    <w:p w:rsidR="00691244" w:rsidRDefault="008D5A09" w:rsidP="00691244">
      <w:pPr>
        <w:rPr>
          <w:rFonts w:ascii="Verdana" w:hAnsi="Verdana"/>
          <w:sz w:val="20"/>
        </w:rPr>
      </w:pPr>
    </w:p>
    <w:p w:rsidR="00691244" w:rsidRDefault="008D5A09" w:rsidP="00691244">
      <w:pPr>
        <w:rPr>
          <w:rFonts w:ascii="Verdana" w:hAnsi="Verdana"/>
          <w:sz w:val="20"/>
        </w:rPr>
      </w:pPr>
      <w:r>
        <w:rPr>
          <w:rFonts w:ascii="Verdana" w:hAnsi="Verdana"/>
          <w:sz w:val="20"/>
        </w:rPr>
        <w:t>Administrative costs calculation is modeled in ‘Admin’ worksheet with two intermediate results:  Total administrative costs and cumulative administrative costs.  They are stored in named ranges TotalAd</w:t>
      </w:r>
      <w:r>
        <w:rPr>
          <w:rFonts w:ascii="Verdana" w:hAnsi="Verdana"/>
          <w:sz w:val="20"/>
        </w:rPr>
        <w:t>minCost and CumAdminCost respectively and are used for calculating total expenses in the Summary worksheet.</w:t>
      </w:r>
    </w:p>
    <w:p w:rsidR="00691244" w:rsidRDefault="008D5A09" w:rsidP="00691244">
      <w:pPr>
        <w:rPr>
          <w:rFonts w:ascii="Verdana" w:hAnsi="Verdana"/>
          <w:sz w:val="20"/>
        </w:rPr>
      </w:pPr>
    </w:p>
    <w:p w:rsidR="00691244" w:rsidRDefault="008D5A09" w:rsidP="00691244">
      <w:pPr>
        <w:rPr>
          <w:rFonts w:ascii="Verdana" w:hAnsi="Verdana"/>
          <w:sz w:val="20"/>
        </w:rPr>
      </w:pPr>
      <w:r>
        <w:rPr>
          <w:rFonts w:ascii="Verdana" w:hAnsi="Verdana"/>
          <w:sz w:val="20"/>
        </w:rPr>
        <w:t>Sponsored research revenue is modeled in SponsoredRev worksheet.  Main inputs for this model are sponsored revenue inputs from InputsParameters and</w:t>
      </w:r>
      <w:r>
        <w:rPr>
          <w:rFonts w:ascii="Verdana" w:hAnsi="Verdana"/>
          <w:sz w:val="20"/>
        </w:rPr>
        <w:t xml:space="preserve"> faculty growth data from FacGrowth worksheet.  Two important intermediate results are total annual and cumulative sponsored grant revenues, used by the Summary worksheet for calculating total revenues.</w:t>
      </w:r>
    </w:p>
    <w:p w:rsidR="00691244" w:rsidRDefault="008D5A09" w:rsidP="00691244">
      <w:pPr>
        <w:rPr>
          <w:rFonts w:ascii="Verdana" w:hAnsi="Verdana"/>
          <w:sz w:val="20"/>
        </w:rPr>
      </w:pPr>
    </w:p>
    <w:p w:rsidR="00691244" w:rsidRDefault="008D5A09" w:rsidP="00691244">
      <w:pPr>
        <w:rPr>
          <w:rFonts w:ascii="Verdana" w:hAnsi="Verdana"/>
          <w:sz w:val="20"/>
        </w:rPr>
      </w:pPr>
      <w:r>
        <w:rPr>
          <w:rFonts w:ascii="Verdana" w:hAnsi="Verdana"/>
          <w:sz w:val="20"/>
        </w:rPr>
        <w:t>Endowment distribution is modeled in EndowRev worksh</w:t>
      </w:r>
      <w:r>
        <w:rPr>
          <w:rFonts w:ascii="Verdana" w:hAnsi="Verdana"/>
          <w:sz w:val="20"/>
        </w:rPr>
        <w:t xml:space="preserve">eet.  First year endowment market values for existing and new faculty are stored in MrtValueSr1, MrtValueSr2, MrtValueSr3, MrtValueSr4, MrtValueRecSr1 and MrtValueRecSr2.  Two important intermediate results are annual </w:t>
      </w:r>
      <w:r w:rsidRPr="00CF2BA6">
        <w:rPr>
          <w:rFonts w:ascii="Verdana" w:hAnsi="Verdana"/>
          <w:sz w:val="20"/>
        </w:rPr>
        <w:t>and cumulative</w:t>
      </w:r>
      <w:r w:rsidRPr="00CF2BA6">
        <w:rPr>
          <w:rFonts w:ascii="Verdana" w:hAnsi="Verdana"/>
          <w:i/>
          <w:sz w:val="20"/>
        </w:rPr>
        <w:t xml:space="preserve"> </w:t>
      </w:r>
      <w:r>
        <w:rPr>
          <w:rFonts w:ascii="Verdana" w:hAnsi="Verdana"/>
          <w:sz w:val="20"/>
        </w:rPr>
        <w:t xml:space="preserve">endowment distribution </w:t>
      </w:r>
      <w:r>
        <w:rPr>
          <w:rFonts w:ascii="Verdana" w:hAnsi="Verdana"/>
          <w:sz w:val="20"/>
        </w:rPr>
        <w:t xml:space="preserve">represented by the ranges EndowmentDistribution and CumEndowmentDistribution.   They are used by the Summary worksheet for calculating total revenues. </w:t>
      </w:r>
    </w:p>
    <w:p w:rsidR="00691244" w:rsidRDefault="008D5A09" w:rsidP="00691244">
      <w:pPr>
        <w:rPr>
          <w:rFonts w:ascii="Verdana" w:hAnsi="Verdana"/>
          <w:sz w:val="20"/>
        </w:rPr>
      </w:pPr>
    </w:p>
    <w:p w:rsidR="00691244" w:rsidRDefault="008D5A09" w:rsidP="00691244">
      <w:pPr>
        <w:rPr>
          <w:rFonts w:ascii="Verdana" w:hAnsi="Verdana"/>
          <w:sz w:val="20"/>
        </w:rPr>
      </w:pPr>
      <w:r>
        <w:rPr>
          <w:rFonts w:ascii="Verdana" w:hAnsi="Verdana"/>
          <w:sz w:val="20"/>
        </w:rPr>
        <w:t>The Summary worksheet shows the final outputs of the model.  It captures the three components of the mo</w:t>
      </w:r>
      <w:r>
        <w:rPr>
          <w:rFonts w:ascii="Verdana" w:hAnsi="Verdana"/>
          <w:sz w:val="20"/>
        </w:rPr>
        <w:t>del:  total expenses – total revenues = total required investment in annual and cumulative perspective.  For annual results, revenues, expenses and required investments are represented by the ranges TotalRevenue, TotalExpense and RequiredInvestment respect</w:t>
      </w:r>
      <w:r>
        <w:rPr>
          <w:rFonts w:ascii="Verdana" w:hAnsi="Verdana"/>
          <w:sz w:val="20"/>
        </w:rPr>
        <w:t>ively</w:t>
      </w:r>
      <w:r w:rsidRPr="006E62C4">
        <w:rPr>
          <w:rFonts w:ascii="Verdana" w:hAnsi="Verdana"/>
          <w:sz w:val="20"/>
        </w:rPr>
        <w:t>.  Cumulative results are represented by CumTot</w:t>
      </w:r>
      <w:r>
        <w:rPr>
          <w:rFonts w:ascii="Verdana" w:hAnsi="Verdana"/>
          <w:sz w:val="20"/>
        </w:rPr>
        <w:t>al</w:t>
      </w:r>
      <w:r w:rsidRPr="006E62C4">
        <w:rPr>
          <w:rFonts w:ascii="Verdana" w:hAnsi="Verdana"/>
          <w:sz w:val="20"/>
        </w:rPr>
        <w:t>Revenue, CumTot</w:t>
      </w:r>
      <w:r>
        <w:rPr>
          <w:rFonts w:ascii="Verdana" w:hAnsi="Verdana"/>
          <w:sz w:val="20"/>
        </w:rPr>
        <w:t>al</w:t>
      </w:r>
      <w:r w:rsidRPr="006E62C4">
        <w:rPr>
          <w:rFonts w:ascii="Verdana" w:hAnsi="Verdana"/>
          <w:sz w:val="20"/>
        </w:rPr>
        <w:t xml:space="preserve">Expense and </w:t>
      </w:r>
      <w:r>
        <w:rPr>
          <w:rFonts w:ascii="Verdana" w:hAnsi="Verdana"/>
          <w:sz w:val="20"/>
        </w:rPr>
        <w:t>R</w:t>
      </w:r>
      <w:r w:rsidRPr="006E62C4">
        <w:rPr>
          <w:rFonts w:ascii="Verdana" w:hAnsi="Verdana"/>
          <w:sz w:val="20"/>
        </w:rPr>
        <w:t>eq</w:t>
      </w:r>
      <w:r>
        <w:rPr>
          <w:rFonts w:ascii="Verdana" w:hAnsi="Verdana"/>
          <w:sz w:val="20"/>
        </w:rPr>
        <w:t>Cum</w:t>
      </w:r>
      <w:r w:rsidRPr="006E62C4">
        <w:rPr>
          <w:rFonts w:ascii="Verdana" w:hAnsi="Verdana"/>
          <w:sz w:val="20"/>
        </w:rPr>
        <w:t>Invest</w:t>
      </w:r>
      <w:r>
        <w:rPr>
          <w:rFonts w:ascii="Verdana" w:hAnsi="Verdana"/>
          <w:sz w:val="20"/>
        </w:rPr>
        <w:t xml:space="preserve">. </w:t>
      </w:r>
    </w:p>
    <w:p w:rsidR="00691244" w:rsidRDefault="008D5A09" w:rsidP="00691244">
      <w:pPr>
        <w:rPr>
          <w:rFonts w:ascii="Verdana" w:hAnsi="Verdana"/>
          <w:sz w:val="20"/>
        </w:rPr>
      </w:pPr>
    </w:p>
    <w:p w:rsidR="00691244" w:rsidRPr="006E62C4" w:rsidRDefault="008D5A09" w:rsidP="00691244">
      <w:pPr>
        <w:rPr>
          <w:rFonts w:ascii="Verdana" w:hAnsi="Verdana"/>
          <w:sz w:val="20"/>
        </w:rPr>
      </w:pPr>
      <w:r>
        <w:rPr>
          <w:rFonts w:ascii="Verdana" w:hAnsi="Verdana"/>
          <w:sz w:val="20"/>
        </w:rPr>
        <w:t>Besides numerical output, Summary worksheet also contains charts to illustrate the relationships between outputs in a concise manner.  Line charts titled ‘Pr</w:t>
      </w:r>
      <w:r>
        <w:rPr>
          <w:rFonts w:ascii="Verdana" w:hAnsi="Verdana"/>
          <w:sz w:val="20"/>
        </w:rPr>
        <w:t>ojected Annual SciDept Budget’ and ‘Projected Cumulative SCiDept Budget’ are used to show the relationships between revenue, expenses and required investment in annual and cumulative cases.  Stacked bar charts titled ‘Annual Expenses Allocation’ and ‘Cumul</w:t>
      </w:r>
      <w:r>
        <w:rPr>
          <w:rFonts w:ascii="Verdana" w:hAnsi="Verdana"/>
          <w:sz w:val="20"/>
        </w:rPr>
        <w:t xml:space="preserve">ative Expenses Allocation’ are used to show the relative effect of different expense drivers of the model. </w:t>
      </w:r>
    </w:p>
    <w:p w:rsidR="00691244" w:rsidRDefault="008D5A09" w:rsidP="00691244">
      <w:pPr>
        <w:pStyle w:val="ListParagraph"/>
        <w:ind w:left="0"/>
        <w:jc w:val="both"/>
        <w:rPr>
          <w:rFonts w:ascii="Verdana" w:hAnsi="Verdana"/>
          <w:b/>
          <w:sz w:val="20"/>
        </w:rPr>
      </w:pPr>
    </w:p>
    <w:p w:rsidR="00691244" w:rsidRDefault="008D5A09" w:rsidP="00691244">
      <w:pPr>
        <w:pStyle w:val="ListParagraph"/>
        <w:ind w:left="0"/>
        <w:jc w:val="both"/>
        <w:rPr>
          <w:rFonts w:ascii="Verdana" w:hAnsi="Verdana"/>
          <w:b/>
          <w:sz w:val="20"/>
        </w:rPr>
      </w:pPr>
      <w:r>
        <w:rPr>
          <w:rFonts w:ascii="Verdana" w:hAnsi="Verdana"/>
          <w:b/>
          <w:sz w:val="20"/>
        </w:rPr>
        <w:t>3. Guide to visual cues and naming conventions</w:t>
      </w:r>
    </w:p>
    <w:p w:rsidR="00691244" w:rsidRDefault="008D5A09" w:rsidP="00691244">
      <w:pPr>
        <w:rPr>
          <w:rFonts w:ascii="Verdana" w:hAnsi="Verdana"/>
          <w:sz w:val="20"/>
          <w:szCs w:val="20"/>
        </w:rPr>
      </w:pPr>
      <w:r>
        <w:rPr>
          <w:rFonts w:ascii="Verdana" w:hAnsi="Verdana"/>
          <w:sz w:val="20"/>
          <w:szCs w:val="20"/>
        </w:rPr>
        <w:t>The model uses visual cues to make locating data and formula easier.  Maintainers of the model are e</w:t>
      </w:r>
      <w:r>
        <w:rPr>
          <w:rFonts w:ascii="Verdana" w:hAnsi="Verdana"/>
          <w:sz w:val="20"/>
          <w:szCs w:val="20"/>
        </w:rPr>
        <w:t xml:space="preserve">ncouraged to apply the same visual cues for all worksheets to maintain consistency in order to minimize the costs of maintenance. </w:t>
      </w:r>
    </w:p>
    <w:p w:rsidR="00691244" w:rsidRDefault="008D5A09" w:rsidP="00691244">
      <w:pPr>
        <w:rPr>
          <w:rFonts w:ascii="Verdana" w:hAnsi="Verdana"/>
          <w:sz w:val="20"/>
          <w:szCs w:val="20"/>
        </w:rPr>
      </w:pPr>
    </w:p>
    <w:tbl>
      <w:tblPr>
        <w:tblStyle w:val="TableGrid"/>
        <w:tblW w:w="8880" w:type="dxa"/>
        <w:tblInd w:w="108" w:type="dxa"/>
        <w:tblLook w:val="01E0" w:firstRow="1" w:lastRow="1" w:firstColumn="1" w:lastColumn="1" w:noHBand="0" w:noVBand="0"/>
      </w:tblPr>
      <w:tblGrid>
        <w:gridCol w:w="2053"/>
        <w:gridCol w:w="2701"/>
        <w:gridCol w:w="4126"/>
      </w:tblGrid>
      <w:tr w:rsidR="00691244" w:rsidRPr="00811380">
        <w:tc>
          <w:tcPr>
            <w:tcW w:w="2388" w:type="dxa"/>
          </w:tcPr>
          <w:p w:rsidR="00691244" w:rsidRPr="00811380" w:rsidRDefault="008D5A09" w:rsidP="00691244">
            <w:pPr>
              <w:rPr>
                <w:rFonts w:ascii="Verdana" w:hAnsi="Verdana"/>
                <w:sz w:val="20"/>
                <w:szCs w:val="20"/>
              </w:rPr>
            </w:pPr>
            <w:r w:rsidRPr="00811380">
              <w:rPr>
                <w:rFonts w:ascii="Verdana" w:hAnsi="Verdana"/>
                <w:sz w:val="20"/>
                <w:szCs w:val="20"/>
              </w:rPr>
              <w:t>Visual cue</w:t>
            </w:r>
          </w:p>
        </w:tc>
        <w:tc>
          <w:tcPr>
            <w:tcW w:w="3072" w:type="dxa"/>
          </w:tcPr>
          <w:p w:rsidR="00691244" w:rsidRPr="00811380" w:rsidRDefault="008D5A09" w:rsidP="00691244">
            <w:pPr>
              <w:rPr>
                <w:rFonts w:ascii="Verdana" w:hAnsi="Verdana"/>
                <w:sz w:val="20"/>
                <w:szCs w:val="20"/>
              </w:rPr>
            </w:pPr>
            <w:r w:rsidRPr="00811380">
              <w:rPr>
                <w:rFonts w:ascii="Verdana" w:hAnsi="Verdana"/>
                <w:sz w:val="20"/>
                <w:szCs w:val="20"/>
              </w:rPr>
              <w:t>Meaning</w:t>
            </w:r>
          </w:p>
        </w:tc>
        <w:tc>
          <w:tcPr>
            <w:tcW w:w="3420" w:type="dxa"/>
          </w:tcPr>
          <w:p w:rsidR="00691244" w:rsidRPr="00811380" w:rsidRDefault="008D5A09" w:rsidP="00691244">
            <w:pPr>
              <w:rPr>
                <w:rFonts w:ascii="Verdana" w:hAnsi="Verdana"/>
                <w:sz w:val="20"/>
                <w:szCs w:val="20"/>
              </w:rPr>
            </w:pPr>
            <w:r w:rsidRPr="00811380">
              <w:rPr>
                <w:rFonts w:ascii="Verdana" w:hAnsi="Verdana"/>
                <w:sz w:val="20"/>
                <w:szCs w:val="20"/>
              </w:rPr>
              <w:t>Example</w:t>
            </w:r>
          </w:p>
        </w:tc>
      </w:tr>
      <w:tr w:rsidR="00691244" w:rsidRPr="00811380">
        <w:tc>
          <w:tcPr>
            <w:tcW w:w="2388" w:type="dxa"/>
          </w:tcPr>
          <w:p w:rsidR="00691244" w:rsidRPr="00811380" w:rsidRDefault="008D5A09" w:rsidP="00691244">
            <w:pPr>
              <w:rPr>
                <w:rFonts w:ascii="Verdana" w:hAnsi="Verdana"/>
                <w:sz w:val="20"/>
                <w:szCs w:val="20"/>
              </w:rPr>
            </w:pPr>
            <w:r w:rsidRPr="00811380">
              <w:rPr>
                <w:rFonts w:ascii="Verdana" w:hAnsi="Verdana"/>
                <w:sz w:val="20"/>
                <w:szCs w:val="20"/>
              </w:rPr>
              <w:t>Light Orange highlight</w:t>
            </w:r>
          </w:p>
        </w:tc>
        <w:tc>
          <w:tcPr>
            <w:tcW w:w="3072" w:type="dxa"/>
          </w:tcPr>
          <w:p w:rsidR="00691244" w:rsidRPr="00811380" w:rsidRDefault="008D5A09" w:rsidP="00691244">
            <w:pPr>
              <w:rPr>
                <w:rFonts w:ascii="Verdana" w:hAnsi="Verdana"/>
                <w:sz w:val="20"/>
                <w:szCs w:val="20"/>
              </w:rPr>
            </w:pPr>
            <w:r>
              <w:rPr>
                <w:rFonts w:ascii="Verdana" w:hAnsi="Verdana"/>
                <w:sz w:val="20"/>
                <w:szCs w:val="20"/>
              </w:rPr>
              <w:t>I</w:t>
            </w:r>
            <w:r w:rsidRPr="00811380">
              <w:rPr>
                <w:rFonts w:ascii="Verdana" w:hAnsi="Verdana"/>
                <w:sz w:val="20"/>
                <w:szCs w:val="20"/>
              </w:rPr>
              <w:t xml:space="preserve">mportant input parameter or stream intended to be changed for different </w:t>
            </w:r>
            <w:r w:rsidRPr="00811380">
              <w:rPr>
                <w:rFonts w:ascii="Verdana" w:hAnsi="Verdana"/>
                <w:sz w:val="20"/>
                <w:szCs w:val="20"/>
              </w:rPr>
              <w:t>scenarios</w:t>
            </w:r>
          </w:p>
        </w:tc>
        <w:tc>
          <w:tcPr>
            <w:tcW w:w="3420" w:type="dxa"/>
          </w:tcPr>
          <w:p w:rsidR="00691244" w:rsidRPr="00811380" w:rsidRDefault="008D5A09" w:rsidP="00691244">
            <w:pPr>
              <w:rPr>
                <w:rFonts w:ascii="Verdana" w:hAnsi="Verdana"/>
                <w:sz w:val="20"/>
                <w:szCs w:val="20"/>
              </w:rPr>
            </w:pPr>
            <w:r>
              <w:rPr>
                <w:rFonts w:ascii="Verdana" w:hAnsi="Verdana"/>
                <w:sz w:val="20"/>
                <w:szCs w:val="20"/>
              </w:rPr>
              <w:t>E</w:t>
            </w:r>
            <w:r w:rsidRPr="00811380">
              <w:rPr>
                <w:rFonts w:ascii="Verdana" w:hAnsi="Verdana"/>
                <w:sz w:val="20"/>
                <w:szCs w:val="20"/>
              </w:rPr>
              <w:t>ndowment return rate (InputsParameters!</w:t>
            </w:r>
            <w:r>
              <w:rPr>
                <w:rFonts w:ascii="Verdana" w:hAnsi="Verdana"/>
                <w:sz w:val="20"/>
                <w:szCs w:val="20"/>
              </w:rPr>
              <w:t>EndowmentReturn)</w:t>
            </w:r>
          </w:p>
        </w:tc>
      </w:tr>
      <w:tr w:rsidR="00691244" w:rsidRPr="00811380">
        <w:tc>
          <w:tcPr>
            <w:tcW w:w="2388" w:type="dxa"/>
          </w:tcPr>
          <w:p w:rsidR="00691244" w:rsidRPr="00811380" w:rsidRDefault="008D5A09" w:rsidP="00691244">
            <w:pPr>
              <w:rPr>
                <w:rFonts w:ascii="Verdana" w:hAnsi="Verdana"/>
                <w:sz w:val="20"/>
                <w:szCs w:val="20"/>
              </w:rPr>
            </w:pPr>
            <w:r w:rsidRPr="00811380">
              <w:rPr>
                <w:rFonts w:ascii="Verdana" w:hAnsi="Verdana"/>
                <w:sz w:val="20"/>
                <w:szCs w:val="20"/>
              </w:rPr>
              <w:t>Light Yellow highlight</w:t>
            </w:r>
          </w:p>
        </w:tc>
        <w:tc>
          <w:tcPr>
            <w:tcW w:w="3072" w:type="dxa"/>
          </w:tcPr>
          <w:p w:rsidR="00691244" w:rsidRPr="00811380" w:rsidRDefault="008D5A09" w:rsidP="00691244">
            <w:pPr>
              <w:rPr>
                <w:rFonts w:ascii="Verdana" w:hAnsi="Verdana"/>
                <w:sz w:val="20"/>
                <w:szCs w:val="20"/>
              </w:rPr>
            </w:pPr>
            <w:r>
              <w:rPr>
                <w:rFonts w:ascii="Verdana" w:hAnsi="Verdana"/>
                <w:sz w:val="20"/>
                <w:szCs w:val="20"/>
              </w:rPr>
              <w:t>I</w:t>
            </w:r>
            <w:r w:rsidRPr="00811380">
              <w:rPr>
                <w:rFonts w:ascii="Verdana" w:hAnsi="Verdana"/>
                <w:sz w:val="20"/>
                <w:szCs w:val="20"/>
              </w:rPr>
              <w:t>nput parameter or stream</w:t>
            </w:r>
            <w:r>
              <w:rPr>
                <w:rFonts w:ascii="Verdana" w:hAnsi="Verdana"/>
                <w:sz w:val="20"/>
                <w:szCs w:val="20"/>
              </w:rPr>
              <w:t xml:space="preserve"> that can be changed independently</w:t>
            </w:r>
          </w:p>
        </w:tc>
        <w:tc>
          <w:tcPr>
            <w:tcW w:w="3420" w:type="dxa"/>
          </w:tcPr>
          <w:p w:rsidR="00691244" w:rsidRPr="00811380" w:rsidRDefault="008D5A09" w:rsidP="00691244">
            <w:pPr>
              <w:rPr>
                <w:rFonts w:ascii="Verdana" w:hAnsi="Verdana"/>
                <w:sz w:val="20"/>
                <w:szCs w:val="20"/>
              </w:rPr>
            </w:pPr>
            <w:r w:rsidRPr="00811380">
              <w:rPr>
                <w:rFonts w:ascii="Verdana" w:hAnsi="Verdana"/>
                <w:sz w:val="20"/>
                <w:szCs w:val="20"/>
              </w:rPr>
              <w:t xml:space="preserve">Majority of </w:t>
            </w:r>
            <w:r>
              <w:rPr>
                <w:rFonts w:ascii="Verdana" w:hAnsi="Verdana"/>
                <w:sz w:val="20"/>
                <w:szCs w:val="20"/>
              </w:rPr>
              <w:t xml:space="preserve">data </w:t>
            </w:r>
            <w:r w:rsidRPr="00811380">
              <w:rPr>
                <w:rFonts w:ascii="Verdana" w:hAnsi="Verdana"/>
                <w:sz w:val="20"/>
                <w:szCs w:val="20"/>
              </w:rPr>
              <w:t>cells in InputsParameters worksheet</w:t>
            </w:r>
          </w:p>
        </w:tc>
      </w:tr>
      <w:tr w:rsidR="00691244" w:rsidRPr="00811380">
        <w:tc>
          <w:tcPr>
            <w:tcW w:w="2388" w:type="dxa"/>
          </w:tcPr>
          <w:p w:rsidR="00691244" w:rsidRPr="00811380" w:rsidRDefault="008D5A09" w:rsidP="00691244">
            <w:pPr>
              <w:rPr>
                <w:rFonts w:ascii="Verdana" w:hAnsi="Verdana"/>
                <w:sz w:val="20"/>
                <w:szCs w:val="20"/>
              </w:rPr>
            </w:pPr>
            <w:r>
              <w:rPr>
                <w:rFonts w:ascii="Verdana" w:hAnsi="Verdana"/>
                <w:sz w:val="20"/>
                <w:szCs w:val="20"/>
              </w:rPr>
              <w:t>Lime highlight</w:t>
            </w:r>
          </w:p>
        </w:tc>
        <w:tc>
          <w:tcPr>
            <w:tcW w:w="3072" w:type="dxa"/>
          </w:tcPr>
          <w:p w:rsidR="00691244" w:rsidRPr="00811380" w:rsidRDefault="008D5A09" w:rsidP="00691244">
            <w:pPr>
              <w:rPr>
                <w:rFonts w:ascii="Verdana" w:hAnsi="Verdana"/>
                <w:sz w:val="20"/>
                <w:szCs w:val="20"/>
              </w:rPr>
            </w:pPr>
            <w:r>
              <w:rPr>
                <w:rFonts w:ascii="Verdana" w:hAnsi="Verdana"/>
                <w:sz w:val="20"/>
                <w:szCs w:val="20"/>
              </w:rPr>
              <w:t>Intermediate results used across wor</w:t>
            </w:r>
            <w:r>
              <w:rPr>
                <w:rFonts w:ascii="Verdana" w:hAnsi="Verdana"/>
                <w:sz w:val="20"/>
                <w:szCs w:val="20"/>
              </w:rPr>
              <w:t>ksheets</w:t>
            </w:r>
          </w:p>
        </w:tc>
        <w:tc>
          <w:tcPr>
            <w:tcW w:w="3420" w:type="dxa"/>
          </w:tcPr>
          <w:p w:rsidR="00691244" w:rsidRPr="00DC2721" w:rsidRDefault="008D5A09" w:rsidP="00691244">
            <w:pPr>
              <w:rPr>
                <w:rFonts w:ascii="Verdana" w:hAnsi="Verdana"/>
                <w:sz w:val="20"/>
                <w:szCs w:val="20"/>
              </w:rPr>
            </w:pPr>
            <w:r>
              <w:rPr>
                <w:rFonts w:ascii="Verdana" w:hAnsi="Verdana"/>
                <w:sz w:val="20"/>
                <w:szCs w:val="20"/>
              </w:rPr>
              <w:t>Annual faculty salary and fringe (FacSal!</w:t>
            </w:r>
            <w:r w:rsidRPr="00DC2721">
              <w:rPr>
                <w:rFonts w:ascii="Verdana" w:hAnsi="Verdana"/>
                <w:sz w:val="20"/>
                <w:szCs w:val="20"/>
              </w:rPr>
              <w:t>AnnFacSalFringe</w:t>
            </w:r>
            <w:r>
              <w:rPr>
                <w:rFonts w:ascii="Verdana" w:hAnsi="Verdana"/>
                <w:sz w:val="20"/>
                <w:szCs w:val="20"/>
              </w:rPr>
              <w:t>)</w:t>
            </w:r>
          </w:p>
        </w:tc>
      </w:tr>
      <w:tr w:rsidR="00691244" w:rsidRPr="00811380">
        <w:tc>
          <w:tcPr>
            <w:tcW w:w="2388" w:type="dxa"/>
          </w:tcPr>
          <w:p w:rsidR="00691244" w:rsidRDefault="008D5A09" w:rsidP="00691244">
            <w:pPr>
              <w:rPr>
                <w:rFonts w:ascii="Verdana" w:hAnsi="Verdana"/>
                <w:sz w:val="20"/>
                <w:szCs w:val="20"/>
              </w:rPr>
            </w:pPr>
            <w:r>
              <w:rPr>
                <w:rFonts w:ascii="Verdana" w:hAnsi="Verdana"/>
                <w:sz w:val="20"/>
                <w:szCs w:val="20"/>
              </w:rPr>
              <w:t>Pale Blue highlight</w:t>
            </w:r>
          </w:p>
        </w:tc>
        <w:tc>
          <w:tcPr>
            <w:tcW w:w="3072" w:type="dxa"/>
          </w:tcPr>
          <w:p w:rsidR="00691244" w:rsidRDefault="008D5A09" w:rsidP="00691244">
            <w:pPr>
              <w:rPr>
                <w:rFonts w:ascii="Verdana" w:hAnsi="Verdana"/>
                <w:sz w:val="20"/>
                <w:szCs w:val="20"/>
              </w:rPr>
            </w:pPr>
            <w:r>
              <w:rPr>
                <w:rFonts w:ascii="Verdana" w:hAnsi="Verdana"/>
                <w:sz w:val="20"/>
                <w:szCs w:val="20"/>
              </w:rPr>
              <w:t xml:space="preserve">Final output of the model. </w:t>
            </w:r>
          </w:p>
        </w:tc>
        <w:tc>
          <w:tcPr>
            <w:tcW w:w="3420" w:type="dxa"/>
          </w:tcPr>
          <w:p w:rsidR="00691244" w:rsidRDefault="008D5A09" w:rsidP="00691244">
            <w:pPr>
              <w:rPr>
                <w:rFonts w:ascii="Verdana" w:hAnsi="Verdana"/>
                <w:sz w:val="20"/>
                <w:szCs w:val="20"/>
              </w:rPr>
            </w:pPr>
            <w:r>
              <w:rPr>
                <w:rFonts w:ascii="Verdana" w:hAnsi="Verdana"/>
                <w:sz w:val="20"/>
                <w:szCs w:val="20"/>
              </w:rPr>
              <w:t>Annual total and cumulative revenue, expenses and required investment on the Summary page.</w:t>
            </w:r>
          </w:p>
        </w:tc>
      </w:tr>
      <w:tr w:rsidR="00691244">
        <w:tc>
          <w:tcPr>
            <w:tcW w:w="2388" w:type="dxa"/>
          </w:tcPr>
          <w:p w:rsidR="00691244" w:rsidRPr="00811380" w:rsidRDefault="008D5A09" w:rsidP="00691244">
            <w:pPr>
              <w:rPr>
                <w:rFonts w:ascii="Verdana" w:hAnsi="Verdana"/>
                <w:sz w:val="20"/>
                <w:szCs w:val="20"/>
              </w:rPr>
            </w:pPr>
            <w:r w:rsidRPr="00811380">
              <w:rPr>
                <w:rFonts w:ascii="Verdana" w:hAnsi="Verdana"/>
                <w:sz w:val="20"/>
                <w:szCs w:val="20"/>
              </w:rPr>
              <w:t>Double line</w:t>
            </w:r>
            <w:r>
              <w:rPr>
                <w:rFonts w:ascii="Verdana" w:hAnsi="Verdana"/>
                <w:sz w:val="20"/>
                <w:szCs w:val="20"/>
              </w:rPr>
              <w:t xml:space="preserve"> cell border</w:t>
            </w:r>
          </w:p>
        </w:tc>
        <w:tc>
          <w:tcPr>
            <w:tcW w:w="3072" w:type="dxa"/>
          </w:tcPr>
          <w:p w:rsidR="00691244" w:rsidRPr="00811380" w:rsidRDefault="008D5A09" w:rsidP="00691244">
            <w:pPr>
              <w:rPr>
                <w:rFonts w:ascii="Verdana" w:hAnsi="Verdana"/>
                <w:sz w:val="20"/>
                <w:szCs w:val="20"/>
              </w:rPr>
            </w:pPr>
            <w:r>
              <w:rPr>
                <w:rFonts w:ascii="Verdana" w:hAnsi="Verdana"/>
                <w:sz w:val="20"/>
                <w:szCs w:val="20"/>
              </w:rPr>
              <w:t xml:space="preserve">Distinguish a </w:t>
            </w:r>
            <w:r w:rsidRPr="00811380">
              <w:rPr>
                <w:rFonts w:ascii="Verdana" w:hAnsi="Verdana"/>
                <w:sz w:val="20"/>
                <w:szCs w:val="20"/>
              </w:rPr>
              <w:t>cell</w:t>
            </w:r>
            <w:r>
              <w:rPr>
                <w:rFonts w:ascii="Verdana" w:hAnsi="Verdana"/>
                <w:sz w:val="20"/>
                <w:szCs w:val="20"/>
              </w:rPr>
              <w:t xml:space="preserve"> </w:t>
            </w:r>
            <w:r w:rsidRPr="00811380">
              <w:rPr>
                <w:rFonts w:ascii="Verdana" w:hAnsi="Verdana"/>
                <w:sz w:val="20"/>
                <w:szCs w:val="20"/>
              </w:rPr>
              <w:t>from t</w:t>
            </w:r>
            <w:r w:rsidRPr="00811380">
              <w:rPr>
                <w:rFonts w:ascii="Verdana" w:hAnsi="Verdana"/>
                <w:sz w:val="20"/>
                <w:szCs w:val="20"/>
              </w:rPr>
              <w:t xml:space="preserve">he </w:t>
            </w:r>
            <w:r>
              <w:rPr>
                <w:rFonts w:ascii="Verdana" w:hAnsi="Verdana"/>
                <w:sz w:val="20"/>
                <w:szCs w:val="20"/>
              </w:rPr>
              <w:t xml:space="preserve">others </w:t>
            </w:r>
            <w:r w:rsidRPr="00811380">
              <w:rPr>
                <w:rFonts w:ascii="Verdana" w:hAnsi="Verdana"/>
                <w:sz w:val="20"/>
                <w:szCs w:val="20"/>
              </w:rPr>
              <w:t>on the row</w:t>
            </w:r>
            <w:r>
              <w:rPr>
                <w:rFonts w:ascii="Verdana" w:hAnsi="Verdana"/>
                <w:sz w:val="20"/>
                <w:szCs w:val="20"/>
              </w:rPr>
              <w:t xml:space="preserve">.  Use mainly for indicating the cell contains initial value for a formula used by the rest of the row. </w:t>
            </w:r>
          </w:p>
        </w:tc>
        <w:tc>
          <w:tcPr>
            <w:tcW w:w="3420" w:type="dxa"/>
          </w:tcPr>
          <w:p w:rsidR="00691244" w:rsidRDefault="008D5A09" w:rsidP="00691244">
            <w:pPr>
              <w:rPr>
                <w:rFonts w:ascii="Verdana" w:hAnsi="Verdana"/>
                <w:sz w:val="20"/>
                <w:szCs w:val="20"/>
              </w:rPr>
            </w:pPr>
            <w:r w:rsidRPr="00811380">
              <w:rPr>
                <w:rFonts w:ascii="Verdana" w:hAnsi="Verdana"/>
                <w:sz w:val="20"/>
                <w:szCs w:val="20"/>
              </w:rPr>
              <w:t>First year endowment market value (EndowRev!C</w:t>
            </w:r>
            <w:r>
              <w:rPr>
                <w:rFonts w:ascii="Verdana" w:hAnsi="Verdana"/>
                <w:sz w:val="20"/>
                <w:szCs w:val="20"/>
              </w:rPr>
              <w:t>22:C27</w:t>
            </w:r>
            <w:r w:rsidRPr="00811380">
              <w:rPr>
                <w:rFonts w:ascii="Verdana" w:hAnsi="Verdana"/>
                <w:sz w:val="20"/>
                <w:szCs w:val="20"/>
              </w:rPr>
              <w:t xml:space="preserve">, </w:t>
            </w:r>
            <w:r>
              <w:rPr>
                <w:rFonts w:ascii="Verdana" w:hAnsi="Verdana"/>
                <w:sz w:val="20"/>
                <w:szCs w:val="20"/>
              </w:rPr>
              <w:t>C30 and C31</w:t>
            </w:r>
            <w:r w:rsidRPr="00811380">
              <w:rPr>
                <w:rFonts w:ascii="Verdana" w:hAnsi="Verdana"/>
                <w:sz w:val="20"/>
                <w:szCs w:val="20"/>
              </w:rPr>
              <w:t>)</w:t>
            </w:r>
          </w:p>
        </w:tc>
      </w:tr>
    </w:tbl>
    <w:p w:rsidR="00691244" w:rsidRDefault="008D5A09" w:rsidP="00691244">
      <w:pPr>
        <w:rPr>
          <w:rFonts w:ascii="Verdana" w:hAnsi="Verdana"/>
          <w:sz w:val="20"/>
          <w:szCs w:val="20"/>
        </w:rPr>
      </w:pPr>
    </w:p>
    <w:p w:rsidR="00691244" w:rsidRPr="00784874" w:rsidRDefault="008D5A09" w:rsidP="00691244">
      <w:pPr>
        <w:rPr>
          <w:rFonts w:ascii="Verdana" w:hAnsi="Verdana"/>
          <w:b/>
          <w:sz w:val="20"/>
          <w:szCs w:val="20"/>
        </w:rPr>
      </w:pPr>
      <w:r w:rsidRPr="00784874">
        <w:rPr>
          <w:rFonts w:ascii="Verdana" w:hAnsi="Verdana"/>
          <w:b/>
          <w:sz w:val="20"/>
          <w:szCs w:val="20"/>
        </w:rPr>
        <w:t xml:space="preserve">4. </w:t>
      </w:r>
      <w:r>
        <w:rPr>
          <w:rFonts w:ascii="Verdana" w:hAnsi="Verdana"/>
          <w:b/>
          <w:sz w:val="20"/>
          <w:szCs w:val="20"/>
        </w:rPr>
        <w:t>How to make change</w:t>
      </w:r>
      <w:r w:rsidRPr="00784874">
        <w:rPr>
          <w:rFonts w:ascii="Verdana" w:hAnsi="Verdana"/>
          <w:b/>
          <w:sz w:val="20"/>
          <w:szCs w:val="20"/>
        </w:rPr>
        <w:t>s</w:t>
      </w:r>
    </w:p>
    <w:p w:rsidR="00691244" w:rsidRDefault="008D5A09" w:rsidP="00691244">
      <w:pPr>
        <w:rPr>
          <w:rFonts w:ascii="Verdana" w:hAnsi="Verdana"/>
          <w:sz w:val="20"/>
        </w:rPr>
      </w:pPr>
      <w:r>
        <w:rPr>
          <w:rFonts w:ascii="Verdana" w:hAnsi="Verdana"/>
          <w:sz w:val="20"/>
        </w:rPr>
        <w:t>SciDept could be extended to accommodate</w:t>
      </w:r>
      <w:r>
        <w:rPr>
          <w:rFonts w:ascii="Verdana" w:hAnsi="Verdana"/>
          <w:sz w:val="20"/>
        </w:rPr>
        <w:t xml:space="preserve"> different departmental needs.  Common modifications include the size, combination and hiring schedule of faculty members; endowed professorships arrangement; different spaces needed; variable federal indirect rates throughout the periods; variable inflati</w:t>
      </w:r>
      <w:r>
        <w:rPr>
          <w:rFonts w:ascii="Verdana" w:hAnsi="Verdana"/>
          <w:sz w:val="20"/>
        </w:rPr>
        <w:t xml:space="preserve">on rates.  </w:t>
      </w:r>
    </w:p>
    <w:p w:rsidR="00691244" w:rsidRDefault="008D5A09" w:rsidP="00691244">
      <w:pPr>
        <w:rPr>
          <w:rFonts w:ascii="Verdana" w:hAnsi="Verdana"/>
          <w:sz w:val="20"/>
        </w:rPr>
      </w:pPr>
      <w:r>
        <w:rPr>
          <w:rFonts w:ascii="Verdana" w:hAnsi="Verdana"/>
          <w:sz w:val="20"/>
        </w:rPr>
        <w:t>To accommodate different faculty members’ combination and hiring schedule, first is to modify SrFacRec or JrFacRec in InputsParameters worksheet.  Because SciDept structure ties closely with faculty make-up, all worksheets need to be reviewed a</w:t>
      </w:r>
      <w:r>
        <w:rPr>
          <w:rFonts w:ascii="Verdana" w:hAnsi="Verdana"/>
          <w:sz w:val="20"/>
        </w:rPr>
        <w:t>nd modified to reflect any changes in faculty.</w:t>
      </w:r>
    </w:p>
    <w:p w:rsidR="00691244" w:rsidRDefault="008D5A09" w:rsidP="00691244">
      <w:pPr>
        <w:rPr>
          <w:rFonts w:ascii="Verdana" w:hAnsi="Verdana"/>
          <w:sz w:val="20"/>
        </w:rPr>
      </w:pPr>
      <w:r>
        <w:rPr>
          <w:rFonts w:ascii="Verdana" w:hAnsi="Verdana"/>
          <w:sz w:val="20"/>
        </w:rPr>
        <w:t>SciDept uses certain assumptions that could be modified to reflect different operating environment.  For example, LabOps model could be modified to accommodate variable equipment depreciation and financing ter</w:t>
      </w:r>
      <w:r>
        <w:rPr>
          <w:rFonts w:ascii="Verdana" w:hAnsi="Verdana"/>
          <w:sz w:val="20"/>
        </w:rPr>
        <w:t xml:space="preserve">ms. Likewise, the start-up package draw down rates could also be variable.  Space investment uses certain assumptions that can be modified.  For example, the interest rate and payment terms for financing most likely will change over a twelve years period. </w:t>
      </w:r>
      <w:r>
        <w:rPr>
          <w:rFonts w:ascii="Verdana" w:hAnsi="Verdana"/>
          <w:sz w:val="20"/>
        </w:rPr>
        <w:t xml:space="preserve"> SciDept uses fixed Federal indirect rates to estimate facilities and administration related indirect costs.  Realistically, these rates are negotiated and adjusted annual to better match near-term operating environment.  SponsorRev could be modified to ac</w:t>
      </w:r>
      <w:r>
        <w:rPr>
          <w:rFonts w:ascii="Verdana" w:hAnsi="Verdana"/>
          <w:sz w:val="20"/>
        </w:rPr>
        <w:t xml:space="preserve">commodate variable rate throughout the projected period by adding a row of indirect rate factors in the Indirect Grant Amount PY table and use it to apply to the total direct grant amount.  Finally, endowment revenue model could be improved to accommodate </w:t>
      </w:r>
      <w:r>
        <w:rPr>
          <w:rFonts w:ascii="Verdana" w:hAnsi="Verdana"/>
          <w:sz w:val="20"/>
        </w:rPr>
        <w:t xml:space="preserve">variable endowment withdrawal and investment return rates throughout the projected period.  </w:t>
      </w:r>
    </w:p>
    <w:p w:rsidR="00691244" w:rsidRDefault="008D5A09" w:rsidP="00691244">
      <w:pPr>
        <w:rPr>
          <w:rFonts w:ascii="Verdana" w:hAnsi="Verdana"/>
          <w:sz w:val="20"/>
        </w:rPr>
      </w:pPr>
    </w:p>
    <w:p w:rsidR="00691244" w:rsidRPr="003C56E1" w:rsidRDefault="008D5A09" w:rsidP="00691244">
      <w:pPr>
        <w:rPr>
          <w:rFonts w:ascii="Verdana" w:hAnsi="Verdana"/>
          <w:b/>
          <w:sz w:val="20"/>
        </w:rPr>
      </w:pPr>
      <w:r>
        <w:rPr>
          <w:rFonts w:ascii="Verdana" w:hAnsi="Verdana"/>
          <w:sz w:val="20"/>
        </w:rPr>
        <w:br w:type="page"/>
      </w:r>
      <w:r w:rsidRPr="003C56E1">
        <w:rPr>
          <w:rFonts w:ascii="Verdana" w:hAnsi="Verdana"/>
          <w:b/>
          <w:sz w:val="20"/>
        </w:rPr>
        <w:t xml:space="preserve">Appendix </w:t>
      </w:r>
    </w:p>
    <w:p w:rsidR="00691244" w:rsidRDefault="008D5A09" w:rsidP="00691244">
      <w:pPr>
        <w:rPr>
          <w:rFonts w:ascii="Verdana" w:hAnsi="Verdana"/>
          <w:sz w:val="20"/>
        </w:rPr>
      </w:pPr>
    </w:p>
    <w:p w:rsidR="00691244" w:rsidRDefault="008D5A09" w:rsidP="00691244">
      <w:pPr>
        <w:rPr>
          <w:rFonts w:ascii="Verdana" w:hAnsi="Verdana"/>
          <w:sz w:val="20"/>
        </w:rPr>
      </w:pPr>
      <w:r>
        <w:rPr>
          <w:rFonts w:ascii="Verdana" w:hAnsi="Verdana"/>
          <w:sz w:val="20"/>
        </w:rPr>
        <w:t xml:space="preserve">The following table shows all the names used by the model.  Note that ranges are completely absolute, ‘$’ signs are removed only for readability. </w:t>
      </w:r>
    </w:p>
    <w:p w:rsidR="00691244" w:rsidRDefault="008D5A09" w:rsidP="00691244">
      <w:pPr>
        <w:rPr>
          <w:rFonts w:ascii="Verdana" w:hAnsi="Verdana"/>
          <w:sz w:val="20"/>
        </w:rPr>
      </w:pPr>
    </w:p>
    <w:p w:rsidR="00691244" w:rsidRPr="003C56E1" w:rsidRDefault="008D5A09" w:rsidP="00691244">
      <w:pPr>
        <w:pStyle w:val="Caption"/>
        <w:rPr>
          <w:rFonts w:ascii="Verdana" w:hAnsi="Verdana"/>
          <w:b w:val="0"/>
        </w:rPr>
      </w:pPr>
      <w:bookmarkStart w:id="1" w:name="_Ref280131793"/>
      <w:r w:rsidRPr="003C56E1">
        <w:rPr>
          <w:b w:val="0"/>
        </w:rPr>
        <w:t>Ta</w:t>
      </w:r>
      <w:r w:rsidRPr="003C56E1">
        <w:rPr>
          <w:b w:val="0"/>
        </w:rPr>
        <w:t xml:space="preserve">ble </w:t>
      </w:r>
      <w:r w:rsidRPr="003C56E1">
        <w:rPr>
          <w:b w:val="0"/>
        </w:rPr>
        <w:fldChar w:fldCharType="begin"/>
      </w:r>
      <w:r w:rsidRPr="003C56E1">
        <w:rPr>
          <w:b w:val="0"/>
        </w:rPr>
        <w:instrText xml:space="preserve"> SEQ Table \* ARABIC </w:instrText>
      </w:r>
      <w:r w:rsidRPr="003C56E1">
        <w:rPr>
          <w:b w:val="0"/>
        </w:rPr>
        <w:fldChar w:fldCharType="separate"/>
      </w:r>
      <w:r w:rsidRPr="003C56E1">
        <w:rPr>
          <w:b w:val="0"/>
          <w:noProof/>
        </w:rPr>
        <w:t>1</w:t>
      </w:r>
      <w:r w:rsidRPr="003C56E1">
        <w:rPr>
          <w:b w:val="0"/>
        </w:rPr>
        <w:fldChar w:fldCharType="end"/>
      </w:r>
      <w:bookmarkEnd w:id="1"/>
    </w:p>
    <w:tbl>
      <w:tblPr>
        <w:tblW w:w="0" w:type="auto"/>
        <w:tblInd w:w="78" w:type="dxa"/>
        <w:tblLayout w:type="fixed"/>
        <w:tblLook w:val="0000" w:firstRow="0" w:lastRow="0" w:firstColumn="0" w:lastColumn="0" w:noHBand="0" w:noVBand="0"/>
      </w:tblPr>
      <w:tblGrid>
        <w:gridCol w:w="3060"/>
        <w:gridCol w:w="2129"/>
        <w:gridCol w:w="1877"/>
      </w:tblGrid>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jc w:val="center"/>
              <w:rPr>
                <w:rFonts w:ascii="Arial" w:eastAsia="Times New Roman" w:hAnsi="Arial" w:cs="Arial"/>
                <w:b/>
                <w:bCs/>
                <w:color w:val="000000"/>
                <w:sz w:val="20"/>
                <w:szCs w:val="20"/>
              </w:rPr>
            </w:pPr>
            <w:r w:rsidRPr="004440C0">
              <w:rPr>
                <w:rFonts w:ascii="Arial" w:eastAsia="Times New Roman" w:hAnsi="Arial" w:cs="Arial"/>
                <w:b/>
                <w:bCs/>
                <w:color w:val="000000"/>
                <w:sz w:val="20"/>
                <w:szCs w:val="20"/>
              </w:rPr>
              <w:t>Name</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jc w:val="center"/>
              <w:rPr>
                <w:rFonts w:ascii="Arial" w:eastAsia="Times New Roman" w:hAnsi="Arial" w:cs="Arial"/>
                <w:b/>
                <w:bCs/>
                <w:color w:val="000000"/>
                <w:sz w:val="20"/>
                <w:szCs w:val="20"/>
              </w:rPr>
            </w:pPr>
            <w:r w:rsidRPr="004440C0">
              <w:rPr>
                <w:rFonts w:ascii="Arial" w:eastAsia="Times New Roman" w:hAnsi="Arial" w:cs="Arial"/>
                <w:b/>
                <w:bCs/>
                <w:color w:val="000000"/>
                <w:sz w:val="20"/>
                <w:szCs w:val="20"/>
              </w:rPr>
              <w:t>Worksheet</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jc w:val="center"/>
              <w:rPr>
                <w:rFonts w:ascii="Arial" w:eastAsia="Times New Roman" w:hAnsi="Arial" w:cs="Arial"/>
                <w:b/>
                <w:bCs/>
                <w:color w:val="000000"/>
                <w:sz w:val="20"/>
                <w:szCs w:val="20"/>
              </w:rPr>
            </w:pPr>
            <w:r w:rsidRPr="004440C0">
              <w:rPr>
                <w:rFonts w:ascii="Arial" w:eastAsia="Times New Roman" w:hAnsi="Arial" w:cs="Arial"/>
                <w:b/>
                <w:bCs/>
                <w:color w:val="000000"/>
                <w:sz w:val="20"/>
                <w:szCs w:val="20"/>
              </w:rPr>
              <w:t>Range</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Pr>
                <w:rFonts w:ascii="Arial" w:eastAsia="Times New Roman" w:hAnsi="Arial" w:cs="Arial"/>
                <w:color w:val="000000"/>
                <w:sz w:val="20"/>
                <w:szCs w:val="20"/>
              </w:rPr>
              <w:t>CumAdminCost</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Pr>
                <w:rFonts w:ascii="Arial" w:eastAsia="Times New Roman" w:hAnsi="Arial" w:cs="Arial"/>
                <w:color w:val="000000"/>
                <w:sz w:val="20"/>
                <w:szCs w:val="20"/>
              </w:rPr>
              <w:t>Admin</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Pr>
                <w:rFonts w:ascii="Arial" w:eastAsia="Times New Roman" w:hAnsi="Arial" w:cs="Arial"/>
                <w:color w:val="000000"/>
                <w:sz w:val="20"/>
                <w:szCs w:val="20"/>
              </w:rPr>
              <w:t>D14:O14</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TotalAdminCost</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Admin</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D9:O9</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Pr>
                <w:rFonts w:ascii="Arial" w:eastAsia="Times New Roman" w:hAnsi="Arial" w:cs="Arial"/>
                <w:color w:val="000000"/>
                <w:sz w:val="20"/>
                <w:szCs w:val="20"/>
              </w:rPr>
              <w:t>CumEndowmentDistribution</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Pr>
                <w:rFonts w:ascii="Arial" w:eastAsia="Times New Roman" w:hAnsi="Arial" w:cs="Arial"/>
                <w:color w:val="000000"/>
                <w:sz w:val="20"/>
                <w:szCs w:val="20"/>
              </w:rPr>
              <w:t>EndowRev</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Pr>
                <w:rFonts w:ascii="Arial" w:eastAsia="Times New Roman" w:hAnsi="Arial" w:cs="Arial"/>
                <w:color w:val="000000"/>
                <w:sz w:val="20"/>
                <w:szCs w:val="20"/>
              </w:rPr>
              <w:t>C31:N31</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Pr>
                <w:rFonts w:ascii="Arial" w:eastAsia="Times New Roman" w:hAnsi="Arial" w:cs="Arial"/>
                <w:color w:val="000000"/>
                <w:sz w:val="20"/>
                <w:szCs w:val="20"/>
              </w:rPr>
              <w:t>EndowmentMktValue</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Pr>
                <w:rFonts w:ascii="Arial" w:eastAsia="Times New Roman" w:hAnsi="Arial" w:cs="Arial"/>
                <w:color w:val="000000"/>
                <w:sz w:val="20"/>
                <w:szCs w:val="20"/>
              </w:rPr>
              <w:t>EndowRev</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Pr>
                <w:rFonts w:ascii="Arial" w:eastAsia="Times New Roman" w:hAnsi="Arial" w:cs="Arial"/>
                <w:color w:val="000000"/>
                <w:sz w:val="20"/>
                <w:szCs w:val="20"/>
              </w:rPr>
              <w:t>C4:C9</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EndowmentDistribution</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EndowRev</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C</w:t>
            </w:r>
            <w:r>
              <w:rPr>
                <w:rFonts w:ascii="Arial" w:eastAsia="Times New Roman" w:hAnsi="Arial" w:cs="Arial"/>
                <w:color w:val="000000"/>
                <w:sz w:val="20"/>
                <w:szCs w:val="20"/>
              </w:rPr>
              <w:t>30:N30</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Pr>
                <w:rFonts w:ascii="Arial" w:eastAsia="Times New Roman" w:hAnsi="Arial" w:cs="Arial"/>
                <w:color w:val="000000"/>
                <w:sz w:val="20"/>
                <w:szCs w:val="20"/>
              </w:rPr>
              <w:t>FacHiring</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EndowRev</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Pr>
                <w:rFonts w:ascii="Arial" w:eastAsia="Times New Roman" w:hAnsi="Arial" w:cs="Arial"/>
                <w:color w:val="000000"/>
                <w:sz w:val="20"/>
                <w:szCs w:val="20"/>
              </w:rPr>
              <w:t>C12:N17</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Pr>
                <w:rFonts w:ascii="Arial" w:eastAsia="Times New Roman" w:hAnsi="Arial" w:cs="Arial"/>
                <w:color w:val="000000"/>
                <w:sz w:val="20"/>
                <w:szCs w:val="20"/>
              </w:rPr>
              <w:t>Fac</w:t>
            </w:r>
            <w:r>
              <w:rPr>
                <w:rFonts w:ascii="Arial" w:eastAsia="Times New Roman" w:hAnsi="Arial" w:cs="Arial"/>
                <w:color w:val="000000"/>
                <w:sz w:val="20"/>
                <w:szCs w:val="20"/>
              </w:rPr>
              <w:t>Hiring1</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EndowRev</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Pr>
                <w:rFonts w:ascii="Arial" w:eastAsia="Times New Roman" w:hAnsi="Arial" w:cs="Arial"/>
                <w:color w:val="000000"/>
                <w:sz w:val="20"/>
                <w:szCs w:val="20"/>
              </w:rPr>
              <w:t>C12:C17</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Pr>
                <w:rFonts w:ascii="Arial" w:eastAsia="Times New Roman" w:hAnsi="Arial" w:cs="Arial"/>
                <w:color w:val="000000"/>
                <w:sz w:val="20"/>
                <w:szCs w:val="20"/>
              </w:rPr>
              <w:t>FacHiring2</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EndowRev</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Pr>
                <w:rFonts w:ascii="Arial" w:eastAsia="Times New Roman" w:hAnsi="Arial" w:cs="Arial"/>
                <w:color w:val="000000"/>
                <w:sz w:val="20"/>
                <w:szCs w:val="20"/>
              </w:rPr>
              <w:t>D12:N17</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Pr>
                <w:rFonts w:ascii="Arial" w:eastAsia="Times New Roman" w:hAnsi="Arial" w:cs="Arial"/>
                <w:color w:val="000000"/>
                <w:sz w:val="20"/>
                <w:szCs w:val="20"/>
              </w:rPr>
              <w:t>MrtValueRecSr1</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EndowRev</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Pr>
                <w:rFonts w:ascii="Arial" w:eastAsia="Times New Roman" w:hAnsi="Arial" w:cs="Arial"/>
                <w:color w:val="000000"/>
                <w:sz w:val="20"/>
                <w:szCs w:val="20"/>
              </w:rPr>
              <w:t>C8</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Pr>
                <w:rFonts w:ascii="Arial" w:eastAsia="Times New Roman" w:hAnsi="Arial" w:cs="Arial"/>
                <w:color w:val="000000"/>
                <w:sz w:val="20"/>
                <w:szCs w:val="20"/>
              </w:rPr>
              <w:t>MrtValueRecSr2</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EndowRev</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Pr>
                <w:rFonts w:ascii="Arial" w:eastAsia="Times New Roman" w:hAnsi="Arial" w:cs="Arial"/>
                <w:color w:val="000000"/>
                <w:sz w:val="20"/>
                <w:szCs w:val="20"/>
              </w:rPr>
              <w:t>C9</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Pr>
                <w:rFonts w:ascii="Arial" w:eastAsia="Times New Roman" w:hAnsi="Arial" w:cs="Arial"/>
                <w:color w:val="000000"/>
                <w:sz w:val="20"/>
                <w:szCs w:val="20"/>
              </w:rPr>
              <w:t>MrtValueSr1</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EndowRev</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Pr>
                <w:rFonts w:ascii="Arial" w:eastAsia="Times New Roman" w:hAnsi="Arial" w:cs="Arial"/>
                <w:color w:val="000000"/>
                <w:sz w:val="20"/>
                <w:szCs w:val="20"/>
              </w:rPr>
              <w:t>C4</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Pr>
                <w:rFonts w:ascii="Arial" w:eastAsia="Times New Roman" w:hAnsi="Arial" w:cs="Arial"/>
                <w:color w:val="000000"/>
                <w:sz w:val="20"/>
                <w:szCs w:val="20"/>
              </w:rPr>
              <w:t>MrtValueSr2</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EndowRev</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Pr>
                <w:rFonts w:ascii="Arial" w:eastAsia="Times New Roman" w:hAnsi="Arial" w:cs="Arial"/>
                <w:color w:val="000000"/>
                <w:sz w:val="20"/>
                <w:szCs w:val="20"/>
              </w:rPr>
              <w:t>C5</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Pr>
                <w:rFonts w:ascii="Arial" w:eastAsia="Times New Roman" w:hAnsi="Arial" w:cs="Arial"/>
                <w:color w:val="000000"/>
                <w:sz w:val="20"/>
                <w:szCs w:val="20"/>
              </w:rPr>
              <w:t>MrtValueSr3</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EndowRev</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Pr>
                <w:rFonts w:ascii="Arial" w:eastAsia="Times New Roman" w:hAnsi="Arial" w:cs="Arial"/>
                <w:color w:val="000000"/>
                <w:sz w:val="20"/>
                <w:szCs w:val="20"/>
              </w:rPr>
              <w:t>C6</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Pr>
                <w:rFonts w:ascii="Arial" w:eastAsia="Times New Roman" w:hAnsi="Arial" w:cs="Arial"/>
                <w:color w:val="000000"/>
                <w:sz w:val="20"/>
                <w:szCs w:val="20"/>
              </w:rPr>
              <w:t>MrtValueSr4</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EndowRev</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Pr>
                <w:rFonts w:ascii="Arial" w:eastAsia="Times New Roman" w:hAnsi="Arial" w:cs="Arial"/>
                <w:color w:val="000000"/>
                <w:sz w:val="20"/>
                <w:szCs w:val="20"/>
              </w:rPr>
              <w:t>C7</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Pr>
                <w:rFonts w:ascii="Arial" w:eastAsia="Times New Roman" w:hAnsi="Arial" w:cs="Arial"/>
                <w:color w:val="000000"/>
                <w:sz w:val="20"/>
                <w:szCs w:val="20"/>
              </w:rPr>
              <w:t>RecruitSr1</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EndowRev</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Pr>
                <w:rFonts w:ascii="Arial" w:eastAsia="Times New Roman" w:hAnsi="Arial" w:cs="Arial"/>
                <w:color w:val="000000"/>
                <w:sz w:val="20"/>
                <w:szCs w:val="20"/>
              </w:rPr>
              <w:t>C16:N16</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Pr>
                <w:rFonts w:ascii="Arial" w:eastAsia="Times New Roman" w:hAnsi="Arial" w:cs="Arial"/>
                <w:color w:val="000000"/>
                <w:sz w:val="20"/>
                <w:szCs w:val="20"/>
              </w:rPr>
              <w:t>RecruitSr2</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Endow</w:t>
            </w:r>
            <w:r w:rsidRPr="004440C0">
              <w:rPr>
                <w:rFonts w:ascii="Arial" w:eastAsia="Times New Roman" w:hAnsi="Arial" w:cs="Arial"/>
                <w:color w:val="000000"/>
                <w:sz w:val="20"/>
                <w:szCs w:val="20"/>
              </w:rPr>
              <w:t>Rev</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Pr>
                <w:rFonts w:ascii="Arial" w:eastAsia="Times New Roman" w:hAnsi="Arial" w:cs="Arial"/>
                <w:color w:val="000000"/>
                <w:sz w:val="20"/>
                <w:szCs w:val="20"/>
              </w:rPr>
              <w:t>C17:N17</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Default="008D5A09" w:rsidP="00691244">
            <w:pPr>
              <w:autoSpaceDE w:val="0"/>
              <w:autoSpaceDN w:val="0"/>
              <w:adjustRightInd w:val="0"/>
              <w:rPr>
                <w:rFonts w:ascii="Arial" w:eastAsia="Times New Roman" w:hAnsi="Arial" w:cs="Arial"/>
                <w:color w:val="000000"/>
                <w:sz w:val="20"/>
                <w:szCs w:val="20"/>
              </w:rPr>
            </w:pPr>
            <w:r>
              <w:rPr>
                <w:rFonts w:ascii="Arial" w:eastAsia="Times New Roman" w:hAnsi="Arial" w:cs="Arial"/>
                <w:color w:val="000000"/>
                <w:sz w:val="20"/>
                <w:szCs w:val="20"/>
              </w:rPr>
              <w:t>SRev1</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EndowRev</w:t>
            </w:r>
          </w:p>
        </w:tc>
        <w:tc>
          <w:tcPr>
            <w:tcW w:w="1877" w:type="dxa"/>
            <w:tcBorders>
              <w:top w:val="single" w:sz="2" w:space="0" w:color="000000"/>
              <w:left w:val="single" w:sz="2" w:space="0" w:color="000000"/>
              <w:bottom w:val="single" w:sz="2" w:space="0" w:color="000000"/>
              <w:right w:val="single" w:sz="2" w:space="0" w:color="000000"/>
            </w:tcBorders>
          </w:tcPr>
          <w:p w:rsidR="00691244" w:rsidRDefault="008D5A09" w:rsidP="00691244">
            <w:pPr>
              <w:autoSpaceDE w:val="0"/>
              <w:autoSpaceDN w:val="0"/>
              <w:adjustRightInd w:val="0"/>
              <w:rPr>
                <w:rFonts w:ascii="Arial" w:eastAsia="Times New Roman" w:hAnsi="Arial" w:cs="Arial"/>
                <w:color w:val="000000"/>
                <w:sz w:val="20"/>
                <w:szCs w:val="20"/>
              </w:rPr>
            </w:pPr>
            <w:r>
              <w:rPr>
                <w:rFonts w:ascii="Arial" w:eastAsia="Times New Roman" w:hAnsi="Arial" w:cs="Arial"/>
                <w:color w:val="000000"/>
                <w:sz w:val="20"/>
                <w:szCs w:val="20"/>
              </w:rPr>
              <w:t>C12:N12</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Default="008D5A09" w:rsidP="00691244">
            <w:pPr>
              <w:autoSpaceDE w:val="0"/>
              <w:autoSpaceDN w:val="0"/>
              <w:adjustRightInd w:val="0"/>
              <w:rPr>
                <w:rFonts w:ascii="Arial" w:eastAsia="Times New Roman" w:hAnsi="Arial" w:cs="Arial"/>
                <w:color w:val="000000"/>
                <w:sz w:val="20"/>
                <w:szCs w:val="20"/>
              </w:rPr>
            </w:pPr>
            <w:r>
              <w:rPr>
                <w:rFonts w:ascii="Arial" w:eastAsia="Times New Roman" w:hAnsi="Arial" w:cs="Arial"/>
                <w:color w:val="000000"/>
                <w:sz w:val="20"/>
                <w:szCs w:val="20"/>
              </w:rPr>
              <w:t>SRev2</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EndowRev</w:t>
            </w:r>
          </w:p>
        </w:tc>
        <w:tc>
          <w:tcPr>
            <w:tcW w:w="1877" w:type="dxa"/>
            <w:tcBorders>
              <w:top w:val="single" w:sz="2" w:space="0" w:color="000000"/>
              <w:left w:val="single" w:sz="2" w:space="0" w:color="000000"/>
              <w:bottom w:val="single" w:sz="2" w:space="0" w:color="000000"/>
              <w:right w:val="single" w:sz="2" w:space="0" w:color="000000"/>
            </w:tcBorders>
          </w:tcPr>
          <w:p w:rsidR="00691244" w:rsidRDefault="008D5A09" w:rsidP="00691244">
            <w:pPr>
              <w:autoSpaceDE w:val="0"/>
              <w:autoSpaceDN w:val="0"/>
              <w:adjustRightInd w:val="0"/>
              <w:rPr>
                <w:rFonts w:ascii="Arial" w:eastAsia="Times New Roman" w:hAnsi="Arial" w:cs="Arial"/>
                <w:color w:val="000000"/>
                <w:sz w:val="20"/>
                <w:szCs w:val="20"/>
              </w:rPr>
            </w:pPr>
            <w:r>
              <w:rPr>
                <w:rFonts w:ascii="Arial" w:eastAsia="Times New Roman" w:hAnsi="Arial" w:cs="Arial"/>
                <w:color w:val="000000"/>
                <w:sz w:val="20"/>
                <w:szCs w:val="20"/>
              </w:rPr>
              <w:t>C13:N13</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Default="008D5A09" w:rsidP="00691244">
            <w:pPr>
              <w:autoSpaceDE w:val="0"/>
              <w:autoSpaceDN w:val="0"/>
              <w:adjustRightInd w:val="0"/>
              <w:rPr>
                <w:rFonts w:ascii="Arial" w:eastAsia="Times New Roman" w:hAnsi="Arial" w:cs="Arial"/>
                <w:color w:val="000000"/>
                <w:sz w:val="20"/>
                <w:szCs w:val="20"/>
              </w:rPr>
            </w:pPr>
            <w:r>
              <w:rPr>
                <w:rFonts w:ascii="Arial" w:eastAsia="Times New Roman" w:hAnsi="Arial" w:cs="Arial"/>
                <w:color w:val="000000"/>
                <w:sz w:val="20"/>
                <w:szCs w:val="20"/>
              </w:rPr>
              <w:t>SRev3</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EndowRev</w:t>
            </w:r>
          </w:p>
        </w:tc>
        <w:tc>
          <w:tcPr>
            <w:tcW w:w="1877" w:type="dxa"/>
            <w:tcBorders>
              <w:top w:val="single" w:sz="2" w:space="0" w:color="000000"/>
              <w:left w:val="single" w:sz="2" w:space="0" w:color="000000"/>
              <w:bottom w:val="single" w:sz="2" w:space="0" w:color="000000"/>
              <w:right w:val="single" w:sz="2" w:space="0" w:color="000000"/>
            </w:tcBorders>
          </w:tcPr>
          <w:p w:rsidR="00691244" w:rsidRDefault="008D5A09" w:rsidP="00691244">
            <w:pPr>
              <w:autoSpaceDE w:val="0"/>
              <w:autoSpaceDN w:val="0"/>
              <w:adjustRightInd w:val="0"/>
              <w:rPr>
                <w:rFonts w:ascii="Arial" w:eastAsia="Times New Roman" w:hAnsi="Arial" w:cs="Arial"/>
                <w:color w:val="000000"/>
                <w:sz w:val="20"/>
                <w:szCs w:val="20"/>
              </w:rPr>
            </w:pPr>
            <w:r>
              <w:rPr>
                <w:rFonts w:ascii="Arial" w:eastAsia="Times New Roman" w:hAnsi="Arial" w:cs="Arial"/>
                <w:color w:val="000000"/>
                <w:sz w:val="20"/>
                <w:szCs w:val="20"/>
              </w:rPr>
              <w:t>C14:N14</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Default="008D5A09" w:rsidP="00691244">
            <w:pPr>
              <w:autoSpaceDE w:val="0"/>
              <w:autoSpaceDN w:val="0"/>
              <w:adjustRightInd w:val="0"/>
              <w:rPr>
                <w:rFonts w:ascii="Arial" w:eastAsia="Times New Roman" w:hAnsi="Arial" w:cs="Arial"/>
                <w:color w:val="000000"/>
                <w:sz w:val="20"/>
                <w:szCs w:val="20"/>
              </w:rPr>
            </w:pPr>
            <w:r>
              <w:rPr>
                <w:rFonts w:ascii="Arial" w:eastAsia="Times New Roman" w:hAnsi="Arial" w:cs="Arial"/>
                <w:color w:val="000000"/>
                <w:sz w:val="20"/>
                <w:szCs w:val="20"/>
              </w:rPr>
              <w:t>SRev4</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EndowRev</w:t>
            </w:r>
          </w:p>
        </w:tc>
        <w:tc>
          <w:tcPr>
            <w:tcW w:w="1877" w:type="dxa"/>
            <w:tcBorders>
              <w:top w:val="single" w:sz="2" w:space="0" w:color="000000"/>
              <w:left w:val="single" w:sz="2" w:space="0" w:color="000000"/>
              <w:bottom w:val="single" w:sz="2" w:space="0" w:color="000000"/>
              <w:right w:val="single" w:sz="2" w:space="0" w:color="000000"/>
            </w:tcBorders>
          </w:tcPr>
          <w:p w:rsidR="00691244" w:rsidRDefault="008D5A09" w:rsidP="00691244">
            <w:pPr>
              <w:autoSpaceDE w:val="0"/>
              <w:autoSpaceDN w:val="0"/>
              <w:adjustRightInd w:val="0"/>
              <w:rPr>
                <w:rFonts w:ascii="Arial" w:eastAsia="Times New Roman" w:hAnsi="Arial" w:cs="Arial"/>
                <w:color w:val="000000"/>
                <w:sz w:val="20"/>
                <w:szCs w:val="20"/>
              </w:rPr>
            </w:pPr>
            <w:r>
              <w:rPr>
                <w:rFonts w:ascii="Arial" w:eastAsia="Times New Roman" w:hAnsi="Arial" w:cs="Arial"/>
                <w:color w:val="000000"/>
                <w:sz w:val="20"/>
                <w:szCs w:val="20"/>
              </w:rPr>
              <w:t>C15:N15</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Pr>
                <w:rFonts w:ascii="Arial" w:eastAsia="Times New Roman" w:hAnsi="Arial" w:cs="Arial"/>
                <w:color w:val="000000"/>
                <w:sz w:val="20"/>
                <w:szCs w:val="20"/>
              </w:rPr>
              <w:t>TotalSrRecruitPY</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EndowRev</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Pr>
                <w:rFonts w:ascii="Arial" w:eastAsia="Times New Roman" w:hAnsi="Arial" w:cs="Arial"/>
                <w:color w:val="000000"/>
                <w:sz w:val="20"/>
                <w:szCs w:val="20"/>
              </w:rPr>
              <w:t>C18:N18</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CumJrFacPY</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FacGrowth</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C27:N27</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CumSrFacPY</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FacGrowth</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C13:N13</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TotalJrFacPY</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FacGrowth</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C26:N26</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TotalSrFacPY</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FacGrow</w:t>
            </w:r>
            <w:r w:rsidRPr="004440C0">
              <w:rPr>
                <w:rFonts w:ascii="Arial" w:eastAsia="Times New Roman" w:hAnsi="Arial" w:cs="Arial"/>
                <w:color w:val="000000"/>
                <w:sz w:val="20"/>
                <w:szCs w:val="20"/>
              </w:rPr>
              <w:t>th</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C12:N12</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CumFacSalFringe</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FacSal</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C42:N42</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CumJrFacFringe</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FacSal</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C38:N38</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CumJrFacHardSalaryFringe</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FacSal</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C44:N44</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CumJrFacSal</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FacSal</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C30:N30</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CumJrFacSalaryFringe</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FacSal</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C42:N41</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CumSrFacFringe</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FacSal</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C37:N37</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CumSrFacHardSalaryFringe</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FacSal</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C43:N43</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Cum</w:t>
            </w:r>
            <w:r w:rsidRPr="004440C0">
              <w:rPr>
                <w:rFonts w:ascii="Arial" w:eastAsia="Times New Roman" w:hAnsi="Arial" w:cs="Arial"/>
                <w:color w:val="000000"/>
                <w:sz w:val="20"/>
                <w:szCs w:val="20"/>
              </w:rPr>
              <w:t>SrFacSal</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FacSal</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C29:N29</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CumSrFacSalaryFringe</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FacSal</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C40:N40</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JrFacSalary</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FacSal</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C11:C19</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ProjectedFringe</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FacSal</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C32:N32</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ProjectedInflation</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FacSal</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C28:N28</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ProjTotalJrFacStartingFringe</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FacSal</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C34:N34</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ProjTotalJrFacStartingSalary</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FacSal</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C25:N25</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ProjTotal</w:t>
            </w:r>
            <w:r w:rsidRPr="004440C0">
              <w:rPr>
                <w:rFonts w:ascii="Arial" w:eastAsia="Times New Roman" w:hAnsi="Arial" w:cs="Arial"/>
                <w:color w:val="000000"/>
                <w:sz w:val="20"/>
                <w:szCs w:val="20"/>
              </w:rPr>
              <w:t>SrFacStartingFringe</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FacSal</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C33:N33</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ProjTotalSrFacStartingSalary</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FacSal</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C24:N24</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SrFacSalary</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FacSal</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C3:C8</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TotalFacStartingFringe</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FacSal</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C35:N35</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TotalFacStartingSal</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FacSal</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C26:N26</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AdminCostsRate</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InputsParameters</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D119</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AnnDebtSrv</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InputsParameters</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D82</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Ann</w:t>
            </w:r>
            <w:r w:rsidRPr="004440C0">
              <w:rPr>
                <w:rFonts w:ascii="Arial" w:eastAsia="Times New Roman" w:hAnsi="Arial" w:cs="Arial"/>
                <w:color w:val="000000"/>
                <w:sz w:val="20"/>
                <w:szCs w:val="20"/>
              </w:rPr>
              <w:t>MaintDry</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InputsParameters</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D77</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AnnMaintWet</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InputsParameters</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D76</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ChairEndowment</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InputsParameters</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D137</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DebtFinThreshold</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InputsParameters</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D111</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Depreciation</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InputsParameters</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D110</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DeptEqptPY</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InputsParameters</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D107:O107</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DistributionRate</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InputsParameters</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Pr>
                <w:rFonts w:ascii="Arial" w:eastAsia="Times New Roman" w:hAnsi="Arial" w:cs="Arial"/>
                <w:color w:val="000000"/>
                <w:sz w:val="20"/>
                <w:szCs w:val="20"/>
              </w:rPr>
              <w:t>D146</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DrwDnRtChair</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InputsParameters</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E99</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DrwDnRtJrRec</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InputsParameters</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E104</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DrwDnRtSr2</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InputsParameters</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E100</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DrwDnRtSr3</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InputsParameters</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E101</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DrwDnRtSr4</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InputsParameters</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E102</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DrwDnRtSrRec</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InputsParameters</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E103</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EndowmentReturn</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InputsParameters</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Pr>
                <w:rFonts w:ascii="Arial" w:eastAsia="Times New Roman" w:hAnsi="Arial" w:cs="Arial"/>
                <w:color w:val="000000"/>
                <w:sz w:val="20"/>
                <w:szCs w:val="20"/>
              </w:rPr>
              <w:t>D145</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EqptFi</w:t>
            </w:r>
            <w:r w:rsidRPr="004440C0">
              <w:rPr>
                <w:rFonts w:ascii="Arial" w:eastAsia="Times New Roman" w:hAnsi="Arial" w:cs="Arial"/>
                <w:color w:val="000000"/>
                <w:sz w:val="20"/>
                <w:szCs w:val="20"/>
              </w:rPr>
              <w:t>nPeriods</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InputsParameters</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D114</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FederalIndirectRateAdmin</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InputsParameters</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D130</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FederalIndirectRateFacility</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InputsParameters</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D129</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Financed</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InputsParameters</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D81</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Fringe</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InputsParameters</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D43</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GrantAmount</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InputsParameters</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E125:E126</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GrantAmountAvg</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InputsPara</w:t>
            </w:r>
            <w:r w:rsidRPr="004440C0">
              <w:rPr>
                <w:rFonts w:ascii="Arial" w:eastAsia="Times New Roman" w:hAnsi="Arial" w:cs="Arial"/>
                <w:color w:val="000000"/>
                <w:sz w:val="20"/>
                <w:szCs w:val="20"/>
              </w:rPr>
              <w:t>meters</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F125:F126</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GrantInflation</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InputsParameters</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D131</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GrantSubmittedAvg</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InputsParameters</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E125:E126</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GrantSuccessAvg</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InputsParameters</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D125:D126</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Inflation</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InputsParameters</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D44</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InflationAnimal</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InputsParameters</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G89</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InflationCnM</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InputsParameters</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D78</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Infla</w:t>
            </w:r>
            <w:r w:rsidRPr="004440C0">
              <w:rPr>
                <w:rFonts w:ascii="Arial" w:eastAsia="Times New Roman" w:hAnsi="Arial" w:cs="Arial"/>
                <w:color w:val="000000"/>
                <w:sz w:val="20"/>
                <w:szCs w:val="20"/>
              </w:rPr>
              <w:t>tionOther</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InputsParameters</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I89</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InflationPrsnl</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InputsParameters</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H89</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InitRenovCostDry</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InputsParameters</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D75</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InitRenovCostWet</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InputsParameters</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D74</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JrFacLabCostStream</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InputsParameters</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D96:O96</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JrFacRec</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InputsParameters</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D17:O25</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JrFacSalHardRate</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InputsParame</w:t>
            </w:r>
            <w:r w:rsidRPr="004440C0">
              <w:rPr>
                <w:rFonts w:ascii="Arial" w:eastAsia="Times New Roman" w:hAnsi="Arial" w:cs="Arial"/>
                <w:color w:val="000000"/>
                <w:sz w:val="20"/>
                <w:szCs w:val="20"/>
              </w:rPr>
              <w:t>ters</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D40:O40</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JrRecDrawDownRt</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InputsParameters</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E104</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JrRecEndowment</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InputsParameters</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D142</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LabOpDebtSrvc</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InputsParameters</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D113</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LabOpFinanced</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InputsParameters</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D112</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PmtPeriodsCnR</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InputsParameters</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D83</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Renewal</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InputsParameters</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D79</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RenewalInvest</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InputsParam</w:t>
            </w:r>
            <w:r w:rsidRPr="004440C0">
              <w:rPr>
                <w:rFonts w:ascii="Arial" w:eastAsia="Times New Roman" w:hAnsi="Arial" w:cs="Arial"/>
                <w:color w:val="000000"/>
                <w:sz w:val="20"/>
                <w:szCs w:val="20"/>
              </w:rPr>
              <w:t>eters</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D80</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SalChair</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InputsParameters</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D31</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SalExtSr2</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InputsParameters</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D32</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SalExtSr3</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InputsParameters</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D33</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SalExtSr4</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InputsParameters</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D34</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SalNewJr</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InputsParameters</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D36</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SalNewSr</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InputsParameters</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D35</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SpaceStreamDry</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InputsParameters</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D68:O71</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SpaceStreamWet</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InputsParameters</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D50:O65</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Sr2Endowment</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InputsParameters</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D138</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Sr3Endowment</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InputsParameters</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D139</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Sr4Endowment</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InputsParameters</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D140</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SrAnimalY1</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InputsParameters</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D89:D92</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SrDrawDownRt</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InputsParameters</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E99:E102</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SrFacRec</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InputsParameters</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D8:O13</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SrFacSalHar</w:t>
            </w:r>
            <w:r w:rsidRPr="004440C0">
              <w:rPr>
                <w:rFonts w:ascii="Arial" w:eastAsia="Times New Roman" w:hAnsi="Arial" w:cs="Arial"/>
                <w:color w:val="000000"/>
                <w:sz w:val="20"/>
                <w:szCs w:val="20"/>
              </w:rPr>
              <w:t>dRate</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InputsParameters</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D39:O39</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SrLabPrsnlY1</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InputsParameters</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E89:E92</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SrOtherY1</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InputsParameters</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F89:F92</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SrRcrtAnimal</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InputsParameters</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D93</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SrRcrtLabPrsnl</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InputsParameters</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E93</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SrRcrtOther</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InputsParameters</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F93</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SrRecDrawDownRt</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InputsParameters</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E103</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SrRe</w:t>
            </w:r>
            <w:r w:rsidRPr="004440C0">
              <w:rPr>
                <w:rFonts w:ascii="Arial" w:eastAsia="Times New Roman" w:hAnsi="Arial" w:cs="Arial"/>
                <w:color w:val="000000"/>
                <w:sz w:val="20"/>
                <w:szCs w:val="20"/>
              </w:rPr>
              <w:t>cEndowment</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InputsParameters</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D141</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Startup</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InputsParameters</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D99:D104</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StartUpDrawDownRate</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InputsParameters</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E99:E104</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StartUpPkgChair</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InputsParameters</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D99</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StartUpPkgJrRec</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InputsParameters</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D104</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StartUpPkgSr2</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InputsParameters</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D100</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StartUpPkgSr3</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InputsParame</w:t>
            </w:r>
            <w:r w:rsidRPr="004440C0">
              <w:rPr>
                <w:rFonts w:ascii="Arial" w:eastAsia="Times New Roman" w:hAnsi="Arial" w:cs="Arial"/>
                <w:color w:val="000000"/>
                <w:sz w:val="20"/>
                <w:szCs w:val="20"/>
              </w:rPr>
              <w:t>ters</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D101</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StartUpPkgSr4</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InputsParameters</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D102</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StartUpPkgSrRec</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InputsParameters</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D103</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AdjSrRcrtAnimals</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LabOps</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D23:O23</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AdjSrRcrtOther</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LabOps</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D45:O45</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AdjSrRcrtPrsnl</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LabOps</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D34:O34</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CumJrLabExp</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LabOps</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D72:O72</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CumJRRecruits</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LabOps</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D65:O65</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CumLabOpExp</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LabO</w:t>
            </w:r>
            <w:r w:rsidRPr="004440C0">
              <w:rPr>
                <w:rFonts w:ascii="Arial" w:eastAsia="Times New Roman" w:hAnsi="Arial" w:cs="Arial"/>
                <w:color w:val="000000"/>
                <w:sz w:val="20"/>
                <w:szCs w:val="20"/>
              </w:rPr>
              <w:t>ps</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D141:O141</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CumSrLabAnimals</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LabOps</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D26:O26</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CumSrLabPrsnl</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LabOps</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D37:O37</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CumSrOther</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LabOps</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D48:O48</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CumSrRecruits</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LabOps</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D15:O15</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DeptEqptFinanced</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LabOps</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D82:O82</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DeptEqptPmtsPY</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LabOps</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D83:O83</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EqptCashExpPY</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LabOps</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D80:O80</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StartUpAnalysisExist</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LabOps</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w:t>
            </w:r>
            <w:r w:rsidRPr="004440C0">
              <w:rPr>
                <w:rFonts w:ascii="Arial" w:eastAsia="Times New Roman" w:hAnsi="Arial" w:cs="Arial"/>
                <w:color w:val="000000"/>
                <w:sz w:val="20"/>
                <w:szCs w:val="20"/>
              </w:rPr>
              <w:t>113:O116</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StartUpAnalysisJrRec</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LabOps</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D118:O118</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StartUpAnalysisSrRec</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LabOps</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D117:O117</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StartUpDrawDownPY</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LabOps</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F104:F109</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StartUpLastYrPay</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LabOps</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H104:H109</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TotalDeptEqptExps</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LabOps</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D138:O138</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TotalDeptEqptInvestPY</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LabOps</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D97:O97</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TotalJrLabExps</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LabOps</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w:t>
            </w:r>
            <w:r w:rsidRPr="004440C0">
              <w:rPr>
                <w:rFonts w:ascii="Arial" w:eastAsia="Times New Roman" w:hAnsi="Arial" w:cs="Arial"/>
                <w:color w:val="000000"/>
                <w:sz w:val="20"/>
                <w:szCs w:val="20"/>
              </w:rPr>
              <w:t>71:O71</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TotalLabOpExp</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LabOps</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D140:O140</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TotalSrLabExp</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LabOps</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D136:O136</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TotalStartUpPY</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LabOps</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D128:O128</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TotSrLabAnimals</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LabOps</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D25:O25</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TotSrLabPrsnl</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LabOps</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D36:O36</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TotSrOther</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LabOps</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D47:O47</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AdjAnnMaintDry</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Space</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D108:O108</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AdjAnnMaintWet</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Space</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D59:O59</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AdjRenovCostDry</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Space</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D77:O77</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AdjRenovCostWet</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Space</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D28:O28</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AnnMaintCostStreamDry</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Space</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D109:O109</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AnnMaintCostStreamWet</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Space</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D60:O60</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AnnualDebtService</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Space</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D82</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AnnualFinPmP1000</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Space</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D51</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CashOutRenovDry</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Space</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D79:O79</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CashOutRenovWet</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Space</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D30:O30</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CumDrySpace</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Space</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D72:O72</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CumMaintCostDry</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Space</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D110:O110</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CumMaintCostWet</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Space</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D61:O61</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CumPmtDry</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Space</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D96:O96</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CumSpaceExp</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Space</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D133:O133</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CumWetSpace</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Space</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D23:O23</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CumWetSpaceExpensePY</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Space</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D120:O120</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DryRenovCostStream</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Space</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D78:O78</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DrySpaceRen</w:t>
            </w:r>
            <w:r w:rsidRPr="004440C0">
              <w:rPr>
                <w:rFonts w:ascii="Arial" w:eastAsia="Times New Roman" w:hAnsi="Arial" w:cs="Arial"/>
                <w:color w:val="000000"/>
                <w:sz w:val="20"/>
                <w:szCs w:val="20"/>
              </w:rPr>
              <w:t>ewal</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Space</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D102:O102</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FutureDryRenewalInvest</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Space</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D101:O101</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FutureRenewalInvest</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Space</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D52:O52</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NewDrySpacePY</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Space</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D71:O71</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NewWetSpacePY</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Space</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D22:O22</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PmtWetPY</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Space</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D32:O32</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RenovDebtStreamDry</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Space</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D80:O80</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RenovDebtStreamWet</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Space</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D31:O31</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TotalDryP</w:t>
            </w:r>
            <w:r w:rsidRPr="004440C0">
              <w:rPr>
                <w:rFonts w:ascii="Arial" w:eastAsia="Times New Roman" w:hAnsi="Arial" w:cs="Arial"/>
                <w:color w:val="000000"/>
                <w:sz w:val="20"/>
                <w:szCs w:val="20"/>
              </w:rPr>
              <w:t>mtPY</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Space</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D94:O94</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TotalDrySpaceExpPY</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Space</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D126:O126</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TotalDrySpaceRenovExp</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Space</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D95:O95</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TotalSpaceExp</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Space</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D132:O132</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TotalWebPmtPY</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Space</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D45:O45</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TotalWebSpaceExpPY</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Space</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D119:O119</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WetPmtYear1</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Space</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D33:O33</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WetPmtYear10</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Space</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D42:O42</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WetPmtYear11</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Space</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D43:O43</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WetPmtYear12</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Space</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D44:O44</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WetPmtYear2</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Space</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D34:O34</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WetPmtYear3</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Space</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D35:O35</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WetPmtYear4</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Space</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D36:O36</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WetPmtYear5</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Space</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D37:O37</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WetPmtYear6</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Space</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D38:O38</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WetPmtYear7</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Space</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D39:O39</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WetPmtYear8</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Space</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D40:O40</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WetPmtYear9</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Space</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D41:O</w:t>
            </w:r>
            <w:r w:rsidRPr="004440C0">
              <w:rPr>
                <w:rFonts w:ascii="Arial" w:eastAsia="Times New Roman" w:hAnsi="Arial" w:cs="Arial"/>
                <w:color w:val="000000"/>
                <w:sz w:val="20"/>
                <w:szCs w:val="20"/>
              </w:rPr>
              <w:t>41</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WetRenovCostStream</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Space</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D29:O29</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WetSpaceRenewal</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Space</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D53:O53</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WetSpaceRenovCum</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Space</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D47:O47</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WetSpaceRenovExpPY</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Space</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D46:O46</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YearColumn</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Space</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P33:P44</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YearColumnDry</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Space</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P82:P93</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YearRow</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Space</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D50:O50</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YearRowDry</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Space</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D75:O75</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Pr>
                <w:rFonts w:ascii="Arial" w:eastAsia="Times New Roman" w:hAnsi="Arial" w:cs="Arial"/>
                <w:color w:val="000000"/>
                <w:sz w:val="20"/>
                <w:szCs w:val="20"/>
              </w:rPr>
              <w:t>CumDirRev</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Pr>
                <w:rFonts w:ascii="Arial" w:eastAsia="Times New Roman" w:hAnsi="Arial" w:cs="Arial"/>
                <w:color w:val="000000"/>
                <w:sz w:val="20"/>
                <w:szCs w:val="20"/>
              </w:rPr>
              <w:t>Sponsor</w:t>
            </w:r>
            <w:r>
              <w:rPr>
                <w:rFonts w:ascii="Arial" w:eastAsia="Times New Roman" w:hAnsi="Arial" w:cs="Arial"/>
                <w:color w:val="000000"/>
                <w:sz w:val="20"/>
                <w:szCs w:val="20"/>
              </w:rPr>
              <w:t>edRev</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Pr>
                <w:rFonts w:ascii="Arial" w:eastAsia="Times New Roman" w:hAnsi="Arial" w:cs="Arial"/>
                <w:color w:val="000000"/>
                <w:sz w:val="20"/>
                <w:szCs w:val="20"/>
              </w:rPr>
              <w:t>C52:N52</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CumFacRecruitStream</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SponsoredRev</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C17:N18</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Pr>
                <w:rFonts w:ascii="Arial" w:eastAsia="Times New Roman" w:hAnsi="Arial" w:cs="Arial"/>
                <w:color w:val="000000"/>
                <w:sz w:val="20"/>
                <w:szCs w:val="20"/>
              </w:rPr>
              <w:t>CumIndirRev</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Pr>
                <w:rFonts w:ascii="Arial" w:eastAsia="Times New Roman" w:hAnsi="Arial" w:cs="Arial"/>
                <w:color w:val="000000"/>
                <w:sz w:val="20"/>
                <w:szCs w:val="20"/>
              </w:rPr>
              <w:t>SponsoredRev</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Pr>
                <w:rFonts w:ascii="Arial" w:eastAsia="Times New Roman" w:hAnsi="Arial" w:cs="Arial"/>
                <w:color w:val="000000"/>
                <w:sz w:val="20"/>
                <w:szCs w:val="20"/>
              </w:rPr>
              <w:t>C53:N53</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Pr>
                <w:rFonts w:ascii="Arial" w:eastAsia="Times New Roman" w:hAnsi="Arial" w:cs="Arial"/>
                <w:color w:val="000000"/>
                <w:sz w:val="20"/>
                <w:szCs w:val="20"/>
              </w:rPr>
              <w:t>CumTotalSponsoredRevenue</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Pr>
                <w:rFonts w:ascii="Arial" w:eastAsia="Times New Roman" w:hAnsi="Arial" w:cs="Arial"/>
                <w:color w:val="000000"/>
                <w:sz w:val="20"/>
                <w:szCs w:val="20"/>
              </w:rPr>
              <w:t>SponsoredRev</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Pr>
                <w:rFonts w:ascii="Arial" w:eastAsia="Times New Roman" w:hAnsi="Arial" w:cs="Arial"/>
                <w:color w:val="000000"/>
                <w:sz w:val="20"/>
                <w:szCs w:val="20"/>
              </w:rPr>
              <w:t>C54:N54</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GrantInflationAnalysis</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SponsoredRev</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C33:N34</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GrantsAwardedAnalysis</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SponsoredRev</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C28:N29</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GrantsSubmittedAnalysis</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Spons</w:t>
            </w:r>
            <w:r w:rsidRPr="004440C0">
              <w:rPr>
                <w:rFonts w:ascii="Arial" w:eastAsia="Times New Roman" w:hAnsi="Arial" w:cs="Arial"/>
                <w:color w:val="000000"/>
                <w:sz w:val="20"/>
                <w:szCs w:val="20"/>
              </w:rPr>
              <w:t>oredRev</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C23:N24</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TotalDirectGrantAmountPY</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SponsoredRev</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C39:N39</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TotalIndirectGrant</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SponsoredRev</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C44:N44</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TotalSponsoredRevenue</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SponsoredRev</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C49:N49</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Default="008D5A09" w:rsidP="00691244">
            <w:pPr>
              <w:autoSpaceDE w:val="0"/>
              <w:autoSpaceDN w:val="0"/>
              <w:adjustRightInd w:val="0"/>
              <w:rPr>
                <w:rFonts w:ascii="Arial" w:eastAsia="Times New Roman" w:hAnsi="Arial" w:cs="Arial"/>
                <w:color w:val="000000"/>
                <w:sz w:val="20"/>
                <w:szCs w:val="20"/>
              </w:rPr>
            </w:pPr>
            <w:r>
              <w:rPr>
                <w:rFonts w:ascii="Arial" w:eastAsia="Times New Roman" w:hAnsi="Arial" w:cs="Arial"/>
                <w:color w:val="000000"/>
                <w:sz w:val="20"/>
                <w:szCs w:val="20"/>
              </w:rPr>
              <w:t>TotDirRev</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Pr>
                <w:rFonts w:ascii="Arial" w:eastAsia="Times New Roman" w:hAnsi="Arial" w:cs="Arial"/>
                <w:color w:val="000000"/>
                <w:sz w:val="20"/>
                <w:szCs w:val="20"/>
              </w:rPr>
              <w:t>SponsoredRev</w:t>
            </w:r>
          </w:p>
        </w:tc>
        <w:tc>
          <w:tcPr>
            <w:tcW w:w="1877" w:type="dxa"/>
            <w:tcBorders>
              <w:top w:val="single" w:sz="2" w:space="0" w:color="000000"/>
              <w:left w:val="single" w:sz="2" w:space="0" w:color="000000"/>
              <w:bottom w:val="single" w:sz="2" w:space="0" w:color="000000"/>
              <w:right w:val="single" w:sz="2" w:space="0" w:color="000000"/>
            </w:tcBorders>
          </w:tcPr>
          <w:p w:rsidR="00691244" w:rsidRDefault="008D5A09" w:rsidP="00691244">
            <w:pPr>
              <w:autoSpaceDE w:val="0"/>
              <w:autoSpaceDN w:val="0"/>
              <w:adjustRightInd w:val="0"/>
              <w:rPr>
                <w:rFonts w:ascii="Arial" w:eastAsia="Times New Roman" w:hAnsi="Arial" w:cs="Arial"/>
                <w:color w:val="000000"/>
                <w:sz w:val="20"/>
                <w:szCs w:val="20"/>
              </w:rPr>
            </w:pPr>
            <w:r>
              <w:rPr>
                <w:rFonts w:ascii="Arial" w:eastAsia="Times New Roman" w:hAnsi="Arial" w:cs="Arial"/>
                <w:color w:val="000000"/>
                <w:sz w:val="20"/>
                <w:szCs w:val="20"/>
              </w:rPr>
              <w:t>C47:N47</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Default="008D5A09" w:rsidP="00691244">
            <w:pPr>
              <w:autoSpaceDE w:val="0"/>
              <w:autoSpaceDN w:val="0"/>
              <w:adjustRightInd w:val="0"/>
              <w:rPr>
                <w:rFonts w:ascii="Arial" w:eastAsia="Times New Roman" w:hAnsi="Arial" w:cs="Arial"/>
                <w:color w:val="000000"/>
                <w:sz w:val="20"/>
                <w:szCs w:val="20"/>
              </w:rPr>
            </w:pPr>
            <w:r>
              <w:rPr>
                <w:rFonts w:ascii="Arial" w:eastAsia="Times New Roman" w:hAnsi="Arial" w:cs="Arial"/>
                <w:color w:val="000000"/>
                <w:sz w:val="20"/>
                <w:szCs w:val="20"/>
              </w:rPr>
              <w:t>TotIndirRev</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Pr>
                <w:rFonts w:ascii="Arial" w:eastAsia="Times New Roman" w:hAnsi="Arial" w:cs="Arial"/>
                <w:color w:val="000000"/>
                <w:sz w:val="20"/>
                <w:szCs w:val="20"/>
              </w:rPr>
              <w:t>SponsoredRev</w:t>
            </w:r>
          </w:p>
        </w:tc>
        <w:tc>
          <w:tcPr>
            <w:tcW w:w="1877" w:type="dxa"/>
            <w:tcBorders>
              <w:top w:val="single" w:sz="2" w:space="0" w:color="000000"/>
              <w:left w:val="single" w:sz="2" w:space="0" w:color="000000"/>
              <w:bottom w:val="single" w:sz="2" w:space="0" w:color="000000"/>
              <w:right w:val="single" w:sz="2" w:space="0" w:color="000000"/>
            </w:tcBorders>
          </w:tcPr>
          <w:p w:rsidR="00691244" w:rsidRDefault="008D5A09" w:rsidP="00691244">
            <w:pPr>
              <w:autoSpaceDE w:val="0"/>
              <w:autoSpaceDN w:val="0"/>
              <w:adjustRightInd w:val="0"/>
              <w:rPr>
                <w:rFonts w:ascii="Arial" w:eastAsia="Times New Roman" w:hAnsi="Arial" w:cs="Arial"/>
                <w:color w:val="000000"/>
                <w:sz w:val="20"/>
                <w:szCs w:val="20"/>
              </w:rPr>
            </w:pPr>
            <w:r>
              <w:rPr>
                <w:rFonts w:ascii="Arial" w:eastAsia="Times New Roman" w:hAnsi="Arial" w:cs="Arial"/>
                <w:color w:val="000000"/>
                <w:sz w:val="20"/>
                <w:szCs w:val="20"/>
              </w:rPr>
              <w:t>C48:N48</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Pr>
                <w:rFonts w:ascii="Arial" w:eastAsia="Times New Roman" w:hAnsi="Arial" w:cs="Arial"/>
                <w:color w:val="000000"/>
                <w:sz w:val="20"/>
                <w:szCs w:val="20"/>
              </w:rPr>
              <w:t>CumAdminCost</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Summary</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Pr>
                <w:rFonts w:ascii="Arial" w:eastAsia="Times New Roman" w:hAnsi="Arial" w:cs="Arial"/>
                <w:color w:val="000000"/>
                <w:sz w:val="20"/>
                <w:szCs w:val="20"/>
              </w:rPr>
              <w:t>C59:N59</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Pr>
                <w:rFonts w:ascii="Arial" w:eastAsia="Times New Roman" w:hAnsi="Arial" w:cs="Arial"/>
                <w:color w:val="000000"/>
                <w:sz w:val="20"/>
                <w:szCs w:val="20"/>
              </w:rPr>
              <w:t>CumEndowmen</w:t>
            </w:r>
            <w:r>
              <w:rPr>
                <w:rFonts w:ascii="Arial" w:eastAsia="Times New Roman" w:hAnsi="Arial" w:cs="Arial"/>
                <w:color w:val="000000"/>
                <w:sz w:val="20"/>
                <w:szCs w:val="20"/>
              </w:rPr>
              <w:t>tDistribution</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Summary</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Pr>
                <w:rFonts w:ascii="Arial" w:eastAsia="Times New Roman" w:hAnsi="Arial" w:cs="Arial"/>
                <w:color w:val="000000"/>
                <w:sz w:val="20"/>
                <w:szCs w:val="20"/>
              </w:rPr>
              <w:t>C52:N52</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Pr>
                <w:rFonts w:ascii="Arial" w:eastAsia="Times New Roman" w:hAnsi="Arial" w:cs="Arial"/>
                <w:color w:val="000000"/>
                <w:sz w:val="20"/>
                <w:szCs w:val="20"/>
              </w:rPr>
              <w:t>CumLabExp</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Summary</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Pr>
                <w:rFonts w:ascii="Arial" w:eastAsia="Times New Roman" w:hAnsi="Arial" w:cs="Arial"/>
                <w:color w:val="000000"/>
                <w:sz w:val="20"/>
                <w:szCs w:val="20"/>
              </w:rPr>
              <w:t>C60:N60</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Pr>
                <w:rFonts w:ascii="Arial" w:eastAsia="Times New Roman" w:hAnsi="Arial" w:cs="Arial"/>
                <w:color w:val="000000"/>
                <w:sz w:val="20"/>
                <w:szCs w:val="20"/>
              </w:rPr>
              <w:t>CumSalFringe</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Summary</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Pr>
                <w:rFonts w:ascii="Arial" w:eastAsia="Times New Roman" w:hAnsi="Arial" w:cs="Arial"/>
                <w:color w:val="000000"/>
                <w:sz w:val="20"/>
                <w:szCs w:val="20"/>
              </w:rPr>
              <w:t>C61:N61</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Pr>
                <w:rFonts w:ascii="Arial" w:eastAsia="Times New Roman" w:hAnsi="Arial" w:cs="Arial"/>
                <w:color w:val="000000"/>
                <w:sz w:val="20"/>
                <w:szCs w:val="20"/>
              </w:rPr>
              <w:t>CumSpaceExp</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Summary</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Pr>
                <w:rFonts w:ascii="Arial" w:eastAsia="Times New Roman" w:hAnsi="Arial" w:cs="Arial"/>
                <w:color w:val="000000"/>
                <w:sz w:val="20"/>
                <w:szCs w:val="20"/>
              </w:rPr>
              <w:t>C58:N58</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Pr>
                <w:rFonts w:ascii="Arial" w:eastAsia="Times New Roman" w:hAnsi="Arial" w:cs="Arial"/>
                <w:color w:val="000000"/>
                <w:sz w:val="20"/>
                <w:szCs w:val="20"/>
              </w:rPr>
              <w:t>CumSponsoredGrantRevenue</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Summary</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Pr>
                <w:rFonts w:ascii="Arial" w:eastAsia="Times New Roman" w:hAnsi="Arial" w:cs="Arial"/>
                <w:color w:val="000000"/>
                <w:sz w:val="20"/>
                <w:szCs w:val="20"/>
              </w:rPr>
              <w:t>C53:N53</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Pr>
                <w:rFonts w:ascii="Arial" w:eastAsia="Times New Roman" w:hAnsi="Arial" w:cs="Arial"/>
                <w:color w:val="000000"/>
                <w:sz w:val="20"/>
                <w:szCs w:val="20"/>
              </w:rPr>
              <w:t>CumTotalExpense</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Summary</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Pr>
                <w:rFonts w:ascii="Arial" w:eastAsia="Times New Roman" w:hAnsi="Arial" w:cs="Arial"/>
                <w:color w:val="000000"/>
                <w:sz w:val="20"/>
                <w:szCs w:val="20"/>
              </w:rPr>
              <w:t>C62:N62</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Pr>
                <w:rFonts w:ascii="Arial" w:eastAsia="Times New Roman" w:hAnsi="Arial" w:cs="Arial"/>
                <w:color w:val="000000"/>
                <w:sz w:val="20"/>
                <w:szCs w:val="20"/>
              </w:rPr>
              <w:t>CumTotalRevenue</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Summary</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Pr>
                <w:rFonts w:ascii="Arial" w:eastAsia="Times New Roman" w:hAnsi="Arial" w:cs="Arial"/>
                <w:color w:val="000000"/>
                <w:sz w:val="20"/>
                <w:szCs w:val="20"/>
              </w:rPr>
              <w:t>C54:N54</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EndowmentDistribution</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Summary</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Pr>
                <w:rFonts w:ascii="Arial" w:eastAsia="Times New Roman" w:hAnsi="Arial" w:cs="Arial"/>
                <w:color w:val="000000"/>
                <w:sz w:val="20"/>
                <w:szCs w:val="20"/>
              </w:rPr>
              <w:t>C</w:t>
            </w:r>
            <w:r>
              <w:rPr>
                <w:rFonts w:ascii="Arial" w:eastAsia="Times New Roman" w:hAnsi="Arial" w:cs="Arial"/>
                <w:color w:val="000000"/>
                <w:sz w:val="20"/>
                <w:szCs w:val="20"/>
              </w:rPr>
              <w:t>5:N5</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RequiredInvestment</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Summary</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C1</w:t>
            </w:r>
            <w:r>
              <w:rPr>
                <w:rFonts w:ascii="Arial" w:eastAsia="Times New Roman" w:hAnsi="Arial" w:cs="Arial"/>
                <w:color w:val="000000"/>
                <w:sz w:val="20"/>
                <w:szCs w:val="20"/>
              </w:rPr>
              <w:t>8</w:t>
            </w:r>
            <w:r w:rsidRPr="004440C0">
              <w:rPr>
                <w:rFonts w:ascii="Arial" w:eastAsia="Times New Roman" w:hAnsi="Arial" w:cs="Arial"/>
                <w:color w:val="000000"/>
                <w:sz w:val="20"/>
                <w:szCs w:val="20"/>
              </w:rPr>
              <w:t>:N1</w:t>
            </w:r>
            <w:r>
              <w:rPr>
                <w:rFonts w:ascii="Arial" w:eastAsia="Times New Roman" w:hAnsi="Arial" w:cs="Arial"/>
                <w:color w:val="000000"/>
                <w:sz w:val="20"/>
                <w:szCs w:val="20"/>
              </w:rPr>
              <w:t>8</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Pr>
                <w:rFonts w:ascii="Arial" w:eastAsia="Times New Roman" w:hAnsi="Arial" w:cs="Arial"/>
                <w:color w:val="000000"/>
                <w:sz w:val="20"/>
                <w:szCs w:val="20"/>
              </w:rPr>
              <w:t>ReqCumInvest</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Pr>
                <w:rFonts w:ascii="Arial" w:eastAsia="Times New Roman" w:hAnsi="Arial" w:cs="Arial"/>
                <w:color w:val="000000"/>
                <w:sz w:val="20"/>
                <w:szCs w:val="20"/>
              </w:rPr>
              <w:t>Summary</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Pr>
                <w:rFonts w:ascii="Arial" w:eastAsia="Times New Roman" w:hAnsi="Arial" w:cs="Arial"/>
                <w:color w:val="000000"/>
                <w:sz w:val="20"/>
                <w:szCs w:val="20"/>
              </w:rPr>
              <w:t>C65:N65</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TotalAdminCost</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Summary</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C1</w:t>
            </w:r>
            <w:r>
              <w:rPr>
                <w:rFonts w:ascii="Arial" w:eastAsia="Times New Roman" w:hAnsi="Arial" w:cs="Arial"/>
                <w:color w:val="000000"/>
                <w:sz w:val="20"/>
                <w:szCs w:val="20"/>
              </w:rPr>
              <w:t>2:N12</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TotalExpense</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Summary</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C1</w:t>
            </w:r>
            <w:r>
              <w:rPr>
                <w:rFonts w:ascii="Arial" w:eastAsia="Times New Roman" w:hAnsi="Arial" w:cs="Arial"/>
                <w:color w:val="000000"/>
                <w:sz w:val="20"/>
                <w:szCs w:val="20"/>
              </w:rPr>
              <w:t>5</w:t>
            </w:r>
            <w:r w:rsidRPr="004440C0">
              <w:rPr>
                <w:rFonts w:ascii="Arial" w:eastAsia="Times New Roman" w:hAnsi="Arial" w:cs="Arial"/>
                <w:color w:val="000000"/>
                <w:sz w:val="20"/>
                <w:szCs w:val="20"/>
              </w:rPr>
              <w:t>:N1</w:t>
            </w:r>
            <w:r>
              <w:rPr>
                <w:rFonts w:ascii="Arial" w:eastAsia="Times New Roman" w:hAnsi="Arial" w:cs="Arial"/>
                <w:color w:val="000000"/>
                <w:sz w:val="20"/>
                <w:szCs w:val="20"/>
              </w:rPr>
              <w:t>5</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TotalLabExp</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Summary</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Pr>
                <w:rFonts w:ascii="Arial" w:eastAsia="Times New Roman" w:hAnsi="Arial" w:cs="Arial"/>
                <w:color w:val="000000"/>
                <w:sz w:val="20"/>
                <w:szCs w:val="20"/>
              </w:rPr>
              <w:t>C13:N13</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TotalRevenue</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Summary</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C</w:t>
            </w:r>
            <w:r>
              <w:rPr>
                <w:rFonts w:ascii="Arial" w:eastAsia="Times New Roman" w:hAnsi="Arial" w:cs="Arial"/>
                <w:color w:val="000000"/>
                <w:sz w:val="20"/>
                <w:szCs w:val="20"/>
              </w:rPr>
              <w:t>7:N7</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TotalSalFringe</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Summary</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C1</w:t>
            </w:r>
            <w:r>
              <w:rPr>
                <w:rFonts w:ascii="Arial" w:eastAsia="Times New Roman" w:hAnsi="Arial" w:cs="Arial"/>
                <w:color w:val="000000"/>
                <w:sz w:val="20"/>
                <w:szCs w:val="20"/>
              </w:rPr>
              <w:t>4:N14</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TotalSpaceExp</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Summary</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C1</w:t>
            </w:r>
            <w:r>
              <w:rPr>
                <w:rFonts w:ascii="Arial" w:eastAsia="Times New Roman" w:hAnsi="Arial" w:cs="Arial"/>
                <w:color w:val="000000"/>
                <w:sz w:val="20"/>
                <w:szCs w:val="20"/>
              </w:rPr>
              <w:t>1</w:t>
            </w:r>
            <w:r w:rsidRPr="004440C0">
              <w:rPr>
                <w:rFonts w:ascii="Arial" w:eastAsia="Times New Roman" w:hAnsi="Arial" w:cs="Arial"/>
                <w:color w:val="000000"/>
                <w:sz w:val="20"/>
                <w:szCs w:val="20"/>
              </w:rPr>
              <w:t>:N1</w:t>
            </w:r>
            <w:r>
              <w:rPr>
                <w:rFonts w:ascii="Arial" w:eastAsia="Times New Roman" w:hAnsi="Arial" w:cs="Arial"/>
                <w:color w:val="000000"/>
                <w:sz w:val="20"/>
                <w:szCs w:val="20"/>
              </w:rPr>
              <w:t>1</w:t>
            </w:r>
          </w:p>
        </w:tc>
      </w:tr>
      <w:tr w:rsidR="00691244" w:rsidRPr="004440C0">
        <w:tblPrEx>
          <w:tblCellMar>
            <w:top w:w="0" w:type="dxa"/>
            <w:bottom w:w="0" w:type="dxa"/>
          </w:tblCellMar>
        </w:tblPrEx>
        <w:trPr>
          <w:trHeight w:val="247"/>
        </w:trPr>
        <w:tc>
          <w:tcPr>
            <w:tcW w:w="3060"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Tt</w:t>
            </w:r>
            <w:r w:rsidRPr="004440C0">
              <w:rPr>
                <w:rFonts w:ascii="Arial" w:eastAsia="Times New Roman" w:hAnsi="Arial" w:cs="Arial"/>
                <w:color w:val="000000"/>
                <w:sz w:val="20"/>
                <w:szCs w:val="20"/>
              </w:rPr>
              <w:t>lSponGrantRev</w:t>
            </w:r>
          </w:p>
        </w:tc>
        <w:tc>
          <w:tcPr>
            <w:tcW w:w="2129"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sidRPr="004440C0">
              <w:rPr>
                <w:rFonts w:ascii="Arial" w:eastAsia="Times New Roman" w:hAnsi="Arial" w:cs="Arial"/>
                <w:color w:val="000000"/>
                <w:sz w:val="20"/>
                <w:szCs w:val="20"/>
              </w:rPr>
              <w:t>Summary</w:t>
            </w:r>
          </w:p>
        </w:tc>
        <w:tc>
          <w:tcPr>
            <w:tcW w:w="1877" w:type="dxa"/>
            <w:tcBorders>
              <w:top w:val="single" w:sz="2" w:space="0" w:color="000000"/>
              <w:left w:val="single" w:sz="2" w:space="0" w:color="000000"/>
              <w:bottom w:val="single" w:sz="2" w:space="0" w:color="000000"/>
              <w:right w:val="single" w:sz="2" w:space="0" w:color="000000"/>
            </w:tcBorders>
          </w:tcPr>
          <w:p w:rsidR="00691244" w:rsidRPr="004440C0" w:rsidRDefault="008D5A09" w:rsidP="00691244">
            <w:pPr>
              <w:autoSpaceDE w:val="0"/>
              <w:autoSpaceDN w:val="0"/>
              <w:adjustRightInd w:val="0"/>
              <w:rPr>
                <w:rFonts w:ascii="Arial" w:eastAsia="Times New Roman" w:hAnsi="Arial" w:cs="Arial"/>
                <w:color w:val="000000"/>
                <w:sz w:val="20"/>
                <w:szCs w:val="20"/>
              </w:rPr>
            </w:pPr>
            <w:r>
              <w:rPr>
                <w:rFonts w:ascii="Arial" w:eastAsia="Times New Roman" w:hAnsi="Arial" w:cs="Arial"/>
                <w:color w:val="000000"/>
                <w:sz w:val="20"/>
                <w:szCs w:val="20"/>
              </w:rPr>
              <w:t>C6:N6</w:t>
            </w:r>
          </w:p>
        </w:tc>
      </w:tr>
    </w:tbl>
    <w:p w:rsidR="00691244" w:rsidRDefault="008D5A09" w:rsidP="00691244">
      <w:pPr>
        <w:rPr>
          <w:rFonts w:ascii="Verdana" w:hAnsi="Verdana"/>
          <w:sz w:val="20"/>
        </w:rPr>
      </w:pPr>
    </w:p>
    <w:sectPr w:rsidR="00691244" w:rsidSect="00691244">
      <w:headerReference w:type="default" r:id="rId7"/>
      <w:pgSz w:w="12240" w:h="15840"/>
      <w:pgMar w:top="1440" w:right="1440" w:bottom="1440" w:left="180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244" w:rsidRDefault="008D5A09" w:rsidP="00691244">
      <w:r>
        <w:separator/>
      </w:r>
    </w:p>
  </w:endnote>
  <w:endnote w:type="continuationSeparator" w:id="0">
    <w:p w:rsidR="00691244" w:rsidRDefault="008D5A09" w:rsidP="00691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244" w:rsidRDefault="008D5A09" w:rsidP="00691244">
      <w:r>
        <w:separator/>
      </w:r>
    </w:p>
  </w:footnote>
  <w:footnote w:type="continuationSeparator" w:id="0">
    <w:p w:rsidR="00691244" w:rsidRDefault="008D5A09" w:rsidP="00691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244" w:rsidRPr="00F22FAC" w:rsidRDefault="008D5A09" w:rsidP="00691244">
    <w:pPr>
      <w:pStyle w:val="Header"/>
      <w:tabs>
        <w:tab w:val="clear" w:pos="4680"/>
        <w:tab w:val="left" w:pos="720"/>
        <w:tab w:val="left" w:pos="1080"/>
        <w:tab w:val="left" w:pos="3870"/>
        <w:tab w:val="center" w:pos="4500"/>
        <w:tab w:val="left" w:pos="7200"/>
      </w:tabs>
      <w:rPr>
        <w:rFonts w:ascii="Verdana" w:hAnsi="Verdana"/>
        <w:sz w:val="20"/>
        <w:szCs w:val="20"/>
      </w:rPr>
    </w:pPr>
    <w:r>
      <w:rPr>
        <w:rStyle w:val="PageNumber"/>
        <w:rFonts w:ascii="Verdana" w:hAnsi="Verdana"/>
        <w:sz w:val="20"/>
        <w:szCs w:val="20"/>
      </w:rPr>
      <w:t xml:space="preserve">Page </w:t>
    </w:r>
    <w:r w:rsidRPr="00F22FAC">
      <w:rPr>
        <w:rStyle w:val="PageNumber"/>
        <w:rFonts w:ascii="Verdana" w:hAnsi="Verdana"/>
        <w:sz w:val="20"/>
        <w:szCs w:val="20"/>
      </w:rPr>
      <w:fldChar w:fldCharType="begin"/>
    </w:r>
    <w:r w:rsidRPr="00F22FAC">
      <w:rPr>
        <w:rStyle w:val="PageNumber"/>
        <w:rFonts w:ascii="Verdana" w:hAnsi="Verdana"/>
        <w:sz w:val="20"/>
        <w:szCs w:val="20"/>
      </w:rPr>
      <w:instrText xml:space="preserve"> PAGE </w:instrText>
    </w:r>
    <w:r w:rsidRPr="00F22FAC">
      <w:rPr>
        <w:rStyle w:val="PageNumber"/>
        <w:rFonts w:ascii="Verdana" w:hAnsi="Verdana"/>
        <w:sz w:val="20"/>
        <w:szCs w:val="20"/>
      </w:rPr>
      <w:fldChar w:fldCharType="separate"/>
    </w:r>
    <w:r>
      <w:rPr>
        <w:rStyle w:val="PageNumber"/>
        <w:rFonts w:ascii="Verdana" w:hAnsi="Verdana"/>
        <w:noProof/>
        <w:sz w:val="20"/>
        <w:szCs w:val="20"/>
      </w:rPr>
      <w:t>2</w:t>
    </w:r>
    <w:r w:rsidRPr="00F22FAC">
      <w:rPr>
        <w:rStyle w:val="PageNumber"/>
        <w:rFonts w:ascii="Verdana" w:hAnsi="Verdana"/>
        <w:sz w:val="20"/>
        <w:szCs w:val="20"/>
      </w:rPr>
      <w:fldChar w:fldCharType="end"/>
    </w:r>
    <w:r w:rsidRPr="00F22FAC">
      <w:rPr>
        <w:rStyle w:val="PageNumber"/>
        <w:rFonts w:ascii="Verdana" w:hAnsi="Verdana"/>
        <w:sz w:val="20"/>
        <w:szCs w:val="20"/>
      </w:rPr>
      <w:tab/>
    </w:r>
    <w:r>
      <w:rPr>
        <w:rStyle w:val="PageNumber"/>
        <w:rFonts w:ascii="Verdana" w:hAnsi="Verdana"/>
        <w:sz w:val="20"/>
        <w:szCs w:val="20"/>
      </w:rPr>
      <w:tab/>
      <w:t>SciDept</w:t>
    </w:r>
    <w:r>
      <w:rPr>
        <w:rStyle w:val="PageNumber"/>
        <w:rFonts w:ascii="Verdana" w:hAnsi="Verdana"/>
        <w:sz w:val="20"/>
        <w:szCs w:val="20"/>
      </w:rPr>
      <w:tab/>
      <w:t>Reference Guide</w:t>
    </w:r>
    <w:r>
      <w:rPr>
        <w:rStyle w:val="PageNumber"/>
        <w:rFonts w:ascii="Verdana" w:hAnsi="Verdana"/>
        <w:sz w:val="20"/>
        <w:szCs w:val="20"/>
      </w:rPr>
      <w:tab/>
      <w:t>Revision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5C1D64"/>
    <w:lvl w:ilvl="0">
      <w:start w:val="1"/>
      <w:numFmt w:val="decimal"/>
      <w:lvlText w:val="%1."/>
      <w:lvlJc w:val="left"/>
      <w:pPr>
        <w:tabs>
          <w:tab w:val="num" w:pos="1800"/>
        </w:tabs>
        <w:ind w:left="1800" w:hanging="360"/>
      </w:pPr>
    </w:lvl>
  </w:abstractNum>
  <w:abstractNum w:abstractNumId="1">
    <w:nsid w:val="FFFFFF7D"/>
    <w:multiLevelType w:val="singleLevel"/>
    <w:tmpl w:val="6498AA3E"/>
    <w:lvl w:ilvl="0">
      <w:start w:val="1"/>
      <w:numFmt w:val="decimal"/>
      <w:lvlText w:val="%1."/>
      <w:lvlJc w:val="left"/>
      <w:pPr>
        <w:tabs>
          <w:tab w:val="num" w:pos="1440"/>
        </w:tabs>
        <w:ind w:left="1440" w:hanging="360"/>
      </w:pPr>
    </w:lvl>
  </w:abstractNum>
  <w:abstractNum w:abstractNumId="2">
    <w:nsid w:val="FFFFFF7E"/>
    <w:multiLevelType w:val="singleLevel"/>
    <w:tmpl w:val="436874C2"/>
    <w:lvl w:ilvl="0">
      <w:start w:val="1"/>
      <w:numFmt w:val="decimal"/>
      <w:lvlText w:val="%1."/>
      <w:lvlJc w:val="left"/>
      <w:pPr>
        <w:tabs>
          <w:tab w:val="num" w:pos="1080"/>
        </w:tabs>
        <w:ind w:left="1080" w:hanging="360"/>
      </w:pPr>
    </w:lvl>
  </w:abstractNum>
  <w:abstractNum w:abstractNumId="3">
    <w:nsid w:val="FFFFFF7F"/>
    <w:multiLevelType w:val="singleLevel"/>
    <w:tmpl w:val="874AC2C8"/>
    <w:lvl w:ilvl="0">
      <w:start w:val="1"/>
      <w:numFmt w:val="decimal"/>
      <w:lvlText w:val="%1."/>
      <w:lvlJc w:val="left"/>
      <w:pPr>
        <w:tabs>
          <w:tab w:val="num" w:pos="720"/>
        </w:tabs>
        <w:ind w:left="720" w:hanging="360"/>
      </w:pPr>
    </w:lvl>
  </w:abstractNum>
  <w:abstractNum w:abstractNumId="4">
    <w:nsid w:val="FFFFFF80"/>
    <w:multiLevelType w:val="singleLevel"/>
    <w:tmpl w:val="9E42D28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2D457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0747EF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E202C1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1BC6BBC"/>
    <w:lvl w:ilvl="0">
      <w:start w:val="1"/>
      <w:numFmt w:val="decimal"/>
      <w:lvlText w:val="%1."/>
      <w:lvlJc w:val="left"/>
      <w:pPr>
        <w:tabs>
          <w:tab w:val="num" w:pos="360"/>
        </w:tabs>
        <w:ind w:left="360" w:hanging="360"/>
      </w:pPr>
    </w:lvl>
  </w:abstractNum>
  <w:abstractNum w:abstractNumId="9">
    <w:nsid w:val="FFFFFF89"/>
    <w:multiLevelType w:val="singleLevel"/>
    <w:tmpl w:val="46B03F62"/>
    <w:lvl w:ilvl="0">
      <w:start w:val="1"/>
      <w:numFmt w:val="bullet"/>
      <w:lvlText w:val=""/>
      <w:lvlJc w:val="left"/>
      <w:pPr>
        <w:tabs>
          <w:tab w:val="num" w:pos="360"/>
        </w:tabs>
        <w:ind w:left="360" w:hanging="360"/>
      </w:pPr>
      <w:rPr>
        <w:rFonts w:ascii="Symbol" w:hAnsi="Symbol" w:hint="default"/>
      </w:rPr>
    </w:lvl>
  </w:abstractNum>
  <w:abstractNum w:abstractNumId="10">
    <w:nsid w:val="00055F89"/>
    <w:multiLevelType w:val="hybridMultilevel"/>
    <w:tmpl w:val="9E303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4341C5"/>
    <w:multiLevelType w:val="hybridMultilevel"/>
    <w:tmpl w:val="63E0F4BA"/>
    <w:lvl w:ilvl="0" w:tplc="739A3CE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255CAC"/>
    <w:multiLevelType w:val="hybridMultilevel"/>
    <w:tmpl w:val="22DEFF68"/>
    <w:lvl w:ilvl="0" w:tplc="E668B8FA">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19A0496F"/>
    <w:multiLevelType w:val="hybridMultilevel"/>
    <w:tmpl w:val="D9A2C7B8"/>
    <w:lvl w:ilvl="0" w:tplc="7EEA45F0">
      <w:start w:val="4"/>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AB71A1D"/>
    <w:multiLevelType w:val="hybridMultilevel"/>
    <w:tmpl w:val="EC0AF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Verdan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Verdan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Verdana"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C450933"/>
    <w:multiLevelType w:val="hybridMultilevel"/>
    <w:tmpl w:val="33F01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Verdan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Verdan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Verdana"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F12576D"/>
    <w:multiLevelType w:val="hybridMultilevel"/>
    <w:tmpl w:val="776E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BB0E4A"/>
    <w:multiLevelType w:val="hybridMultilevel"/>
    <w:tmpl w:val="5964C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957455"/>
    <w:multiLevelType w:val="hybridMultilevel"/>
    <w:tmpl w:val="1DD24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EE3813"/>
    <w:multiLevelType w:val="hybridMultilevel"/>
    <w:tmpl w:val="38081AB2"/>
    <w:lvl w:ilvl="0" w:tplc="574EA01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CC22EB5"/>
    <w:multiLevelType w:val="hybridMultilevel"/>
    <w:tmpl w:val="2E04A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Verdan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Verdan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Verdana"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B926043"/>
    <w:multiLevelType w:val="hybridMultilevel"/>
    <w:tmpl w:val="8962D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21"/>
  </w:num>
  <w:num w:numId="4">
    <w:abstractNumId w:val="10"/>
  </w:num>
  <w:num w:numId="5">
    <w:abstractNumId w:val="18"/>
  </w:num>
  <w:num w:numId="6">
    <w:abstractNumId w:val="11"/>
  </w:num>
  <w:num w:numId="7">
    <w:abstractNumId w:val="13"/>
  </w:num>
  <w:num w:numId="8">
    <w:abstractNumId w:val="19"/>
  </w:num>
  <w:num w:numId="9">
    <w:abstractNumId w:val="17"/>
  </w:num>
  <w:num w:numId="10">
    <w:abstractNumId w:val="20"/>
  </w:num>
  <w:num w:numId="11">
    <w:abstractNumId w:val="15"/>
  </w:num>
  <w:num w:numId="12">
    <w:abstractNumId w:val="14"/>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rawingGridHorizontalSpacing w:val="12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0627"/>
    <w:rsid w:val="008D5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2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C714F"/>
    <w:rPr>
      <w:rFonts w:ascii="Tahoma" w:hAnsi="Tahoma" w:cs="Tahoma"/>
      <w:sz w:val="16"/>
      <w:szCs w:val="16"/>
    </w:rPr>
  </w:style>
  <w:style w:type="character" w:customStyle="1" w:styleId="BalloonTextChar">
    <w:name w:val="Balloon Text Char"/>
    <w:basedOn w:val="DefaultParagraphFont"/>
    <w:link w:val="BalloonText"/>
    <w:uiPriority w:val="99"/>
    <w:semiHidden/>
    <w:rsid w:val="006476B7"/>
    <w:rPr>
      <w:rFonts w:ascii="Times New Roman" w:hAnsi="Times New Roman"/>
      <w:sz w:val="0"/>
      <w:szCs w:val="0"/>
    </w:rPr>
  </w:style>
  <w:style w:type="character" w:styleId="Hyperlink">
    <w:name w:val="Hyperlink"/>
    <w:basedOn w:val="DefaultParagraphFont"/>
    <w:uiPriority w:val="99"/>
    <w:semiHidden/>
    <w:rsid w:val="00E3433C"/>
    <w:rPr>
      <w:rFonts w:cs="Times New Roman"/>
      <w:color w:val="0000FF"/>
      <w:u w:val="single"/>
    </w:rPr>
  </w:style>
  <w:style w:type="paragraph" w:styleId="ListParagraph">
    <w:name w:val="List Paragraph"/>
    <w:basedOn w:val="Normal"/>
    <w:uiPriority w:val="99"/>
    <w:qFormat/>
    <w:rsid w:val="00EB6146"/>
    <w:pPr>
      <w:ind w:left="720"/>
      <w:contextualSpacing/>
    </w:pPr>
  </w:style>
  <w:style w:type="table" w:styleId="TableGrid">
    <w:name w:val="Table Grid"/>
    <w:basedOn w:val="TableNormal"/>
    <w:uiPriority w:val="99"/>
    <w:rsid w:val="00AA25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B67E6D"/>
  </w:style>
  <w:style w:type="character" w:customStyle="1" w:styleId="FootnoteTextChar">
    <w:name w:val="Footnote Text Char"/>
    <w:basedOn w:val="DefaultParagraphFont"/>
    <w:link w:val="FootnoteText"/>
    <w:uiPriority w:val="99"/>
    <w:semiHidden/>
    <w:locked/>
    <w:rsid w:val="00B67E6D"/>
    <w:rPr>
      <w:rFonts w:cs="Times New Roman"/>
    </w:rPr>
  </w:style>
  <w:style w:type="character" w:styleId="FootnoteReference">
    <w:name w:val="footnote reference"/>
    <w:basedOn w:val="DefaultParagraphFont"/>
    <w:uiPriority w:val="99"/>
    <w:semiHidden/>
    <w:rsid w:val="00B67E6D"/>
    <w:rPr>
      <w:rFonts w:cs="Times New Roman"/>
      <w:vertAlign w:val="superscript"/>
    </w:rPr>
  </w:style>
  <w:style w:type="paragraph" w:styleId="Header">
    <w:name w:val="header"/>
    <w:basedOn w:val="Normal"/>
    <w:link w:val="HeaderChar"/>
    <w:unhideWhenUsed/>
    <w:rsid w:val="007D7330"/>
    <w:pPr>
      <w:tabs>
        <w:tab w:val="center" w:pos="4680"/>
        <w:tab w:val="right" w:pos="9360"/>
      </w:tabs>
    </w:pPr>
  </w:style>
  <w:style w:type="character" w:customStyle="1" w:styleId="HeaderChar">
    <w:name w:val="Header Char"/>
    <w:basedOn w:val="DefaultParagraphFont"/>
    <w:link w:val="Header"/>
    <w:rsid w:val="007D7330"/>
    <w:rPr>
      <w:sz w:val="24"/>
      <w:szCs w:val="24"/>
    </w:rPr>
  </w:style>
  <w:style w:type="paragraph" w:styleId="Footer">
    <w:name w:val="footer"/>
    <w:basedOn w:val="Normal"/>
    <w:link w:val="FooterChar"/>
    <w:uiPriority w:val="99"/>
    <w:semiHidden/>
    <w:unhideWhenUsed/>
    <w:rsid w:val="007D7330"/>
    <w:pPr>
      <w:tabs>
        <w:tab w:val="center" w:pos="4680"/>
        <w:tab w:val="right" w:pos="9360"/>
      </w:tabs>
    </w:pPr>
  </w:style>
  <w:style w:type="character" w:customStyle="1" w:styleId="FooterChar">
    <w:name w:val="Footer Char"/>
    <w:basedOn w:val="DefaultParagraphFont"/>
    <w:link w:val="Footer"/>
    <w:uiPriority w:val="99"/>
    <w:semiHidden/>
    <w:rsid w:val="007D7330"/>
    <w:rPr>
      <w:sz w:val="24"/>
      <w:szCs w:val="24"/>
    </w:rPr>
  </w:style>
  <w:style w:type="character" w:styleId="PageNumber">
    <w:name w:val="page number"/>
    <w:basedOn w:val="DefaultParagraphFont"/>
    <w:rsid w:val="007D7330"/>
  </w:style>
  <w:style w:type="character" w:styleId="CommentReference">
    <w:name w:val="annotation reference"/>
    <w:basedOn w:val="DefaultParagraphFont"/>
    <w:uiPriority w:val="99"/>
    <w:semiHidden/>
    <w:unhideWhenUsed/>
    <w:rsid w:val="00F4442F"/>
    <w:rPr>
      <w:sz w:val="16"/>
      <w:szCs w:val="16"/>
    </w:rPr>
  </w:style>
  <w:style w:type="paragraph" w:styleId="CommentText">
    <w:name w:val="annotation text"/>
    <w:basedOn w:val="Normal"/>
    <w:link w:val="CommentTextChar"/>
    <w:uiPriority w:val="99"/>
    <w:semiHidden/>
    <w:unhideWhenUsed/>
    <w:rsid w:val="00F4442F"/>
    <w:rPr>
      <w:sz w:val="20"/>
      <w:szCs w:val="20"/>
    </w:rPr>
  </w:style>
  <w:style w:type="character" w:customStyle="1" w:styleId="CommentTextChar">
    <w:name w:val="Comment Text Char"/>
    <w:basedOn w:val="DefaultParagraphFont"/>
    <w:link w:val="CommentText"/>
    <w:uiPriority w:val="99"/>
    <w:semiHidden/>
    <w:rsid w:val="00F4442F"/>
  </w:style>
  <w:style w:type="paragraph" w:styleId="CommentSubject">
    <w:name w:val="annotation subject"/>
    <w:basedOn w:val="CommentText"/>
    <w:next w:val="CommentText"/>
    <w:link w:val="CommentSubjectChar"/>
    <w:uiPriority w:val="99"/>
    <w:semiHidden/>
    <w:unhideWhenUsed/>
    <w:rsid w:val="00F4442F"/>
    <w:rPr>
      <w:b/>
      <w:bCs/>
    </w:rPr>
  </w:style>
  <w:style w:type="character" w:customStyle="1" w:styleId="CommentSubjectChar">
    <w:name w:val="Comment Subject Char"/>
    <w:basedOn w:val="CommentTextChar"/>
    <w:link w:val="CommentSubject"/>
    <w:uiPriority w:val="99"/>
    <w:semiHidden/>
    <w:rsid w:val="00F4442F"/>
    <w:rPr>
      <w:b/>
      <w:bCs/>
    </w:rPr>
  </w:style>
  <w:style w:type="paragraph" w:styleId="Caption">
    <w:name w:val="caption"/>
    <w:basedOn w:val="Normal"/>
    <w:next w:val="Normal"/>
    <w:qFormat/>
    <w:locked/>
    <w:rsid w:val="003C56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4054</Words>
  <Characters>23112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SciDept</vt:lpstr>
    </vt:vector>
  </TitlesOfParts>
  <Company/>
  <LinksUpToDate>false</LinksUpToDate>
  <CharactersWithSpaces>27112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SciDept</dc:title>
  <dc:subject/>
  <dc:creator>Richard Brenner</dc:creator>
  <cp:keywords/>
  <cp:lastModifiedBy>Richard Brenner</cp:lastModifiedBy>
  <cp:revision>2</cp:revision>
  <dcterms:created xsi:type="dcterms:W3CDTF">2012-11-14T20:02:00Z</dcterms:created>
  <dcterms:modified xsi:type="dcterms:W3CDTF">2012-11-14T20:02:00Z</dcterms:modified>
</cp:coreProperties>
</file>