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56" w:rsidRDefault="002D41B7" w:rsidP="00902956">
      <w:pPr>
        <w:spacing w:after="0" w:line="240" w:lineRule="auto"/>
        <w:rPr>
          <w:rFonts w:ascii="Verdana" w:hAnsi="Verdana" w:cs="Arial"/>
          <w:b/>
          <w:bCs/>
          <w:sz w:val="20"/>
          <w:szCs w:val="20"/>
        </w:rPr>
      </w:pPr>
      <w:bookmarkStart w:id="0" w:name="_GoBack"/>
      <w:bookmarkEnd w:id="0"/>
      <w:r>
        <w:rPr>
          <w:rFonts w:ascii="Verdana" w:hAnsi="Verdana" w:cs="Arial"/>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19.8pt;z-index:-251658752;mso-wrap-edited:f" wrapcoords="-56 0 -56 21600 21656 21600 21656 0 -56 0" fillcolor="yellow">
            <v:textbox style="mso-next-textbox:#_x0000_s1026">
              <w:txbxContent>
                <w:p w:rsidR="00902956" w:rsidRPr="00B74C29" w:rsidRDefault="002D41B7" w:rsidP="00902956">
                  <w:pPr>
                    <w:jc w:val="center"/>
                    <w:rPr>
                      <w:rFonts w:ascii="Verdana" w:hAnsi="Verdana"/>
                      <w:b/>
                      <w:sz w:val="20"/>
                    </w:rPr>
                  </w:pPr>
                  <w:r w:rsidRPr="00B74C29">
                    <w:rPr>
                      <w:rFonts w:ascii="Verdana" w:hAnsi="Verdana"/>
                      <w:b/>
                      <w:sz w:val="20"/>
                    </w:rPr>
                    <w:t>Sample Only</w:t>
                  </w:r>
                </w:p>
                <w:p w:rsidR="00902956" w:rsidRPr="00B74C29" w:rsidRDefault="002D41B7">
                  <w:pPr>
                    <w:rPr>
                      <w:rFonts w:ascii="Verdana" w:hAnsi="Verdana"/>
                      <w:sz w:val="20"/>
                    </w:rPr>
                  </w:pPr>
                  <w:r w:rsidRPr="00B74C29">
                    <w:rPr>
                      <w:rFonts w:ascii="Verdana" w:hAnsi="Verdana"/>
                      <w:sz w:val="20"/>
                    </w:rPr>
                    <w:t>This document was submitted by students in a previous class. Their requirements were different from yours. We offer it on</w:t>
                  </w:r>
                  <w:r w:rsidRPr="00B74C29">
                    <w:rPr>
                      <w:rFonts w:ascii="Verdana" w:hAnsi="Verdana"/>
                      <w:sz w:val="20"/>
                    </w:rPr>
                    <w:t>ly as a sample of what a project was for that class. Copying this document, in whole or in part, and submitting the result as your own work, would be a violation of the honor code.</w:t>
                  </w:r>
                </w:p>
              </w:txbxContent>
            </v:textbox>
            <w10:wrap type="tight"/>
          </v:shape>
        </w:pict>
      </w:r>
      <w:r w:rsidRPr="007C6DA5">
        <w:rPr>
          <w:rFonts w:ascii="Verdana" w:hAnsi="Verdana" w:cs="Arial"/>
          <w:bCs/>
          <w:sz w:val="20"/>
          <w:szCs w:val="20"/>
        </w:rPr>
        <w:t>Project:</w:t>
      </w:r>
      <w:r>
        <w:rPr>
          <w:rFonts w:ascii="Verdana" w:hAnsi="Verdana" w:cs="Arial"/>
          <w:b/>
          <w:bCs/>
          <w:sz w:val="20"/>
          <w:szCs w:val="20"/>
        </w:rPr>
        <w:t xml:space="preserve"> </w:t>
      </w:r>
      <w:r w:rsidRPr="00FC3EDD">
        <w:rPr>
          <w:rFonts w:ascii="Verdana" w:hAnsi="Verdana" w:cs="Arial"/>
          <w:sz w:val="20"/>
          <w:szCs w:val="20"/>
        </w:rPr>
        <w:t>SciDept</w:t>
      </w:r>
    </w:p>
    <w:p w:rsidR="00902956" w:rsidRPr="00FC3EDD" w:rsidRDefault="002D41B7" w:rsidP="00902956">
      <w:pPr>
        <w:spacing w:after="0" w:line="240" w:lineRule="auto"/>
        <w:rPr>
          <w:rFonts w:ascii="Verdana" w:hAnsi="Verdana" w:cs="Arial"/>
          <w:sz w:val="20"/>
          <w:szCs w:val="20"/>
        </w:rPr>
      </w:pPr>
      <w:r w:rsidRPr="007C6DA5">
        <w:rPr>
          <w:rFonts w:ascii="Verdana" w:hAnsi="Verdana" w:cs="Arial"/>
          <w:bCs/>
          <w:sz w:val="20"/>
          <w:szCs w:val="20"/>
        </w:rPr>
        <w:t>Document</w:t>
      </w:r>
      <w:r w:rsidRPr="007C6DA5">
        <w:rPr>
          <w:rFonts w:ascii="Verdana" w:hAnsi="Verdana" w:cs="Arial"/>
          <w:sz w:val="20"/>
          <w:szCs w:val="20"/>
        </w:rPr>
        <w:t>:</w:t>
      </w:r>
      <w:r w:rsidRPr="00FC3EDD">
        <w:rPr>
          <w:rFonts w:ascii="Verdana" w:hAnsi="Verdana" w:cs="Arial"/>
          <w:sz w:val="20"/>
          <w:szCs w:val="20"/>
        </w:rPr>
        <w:t xml:space="preserve"> User Guide</w:t>
      </w:r>
    </w:p>
    <w:p w:rsidR="00902956" w:rsidRPr="002A198F" w:rsidRDefault="002D41B7" w:rsidP="00902956">
      <w:pPr>
        <w:spacing w:after="0" w:line="240" w:lineRule="auto"/>
        <w:rPr>
          <w:rFonts w:ascii="Verdana" w:hAnsi="Verdana" w:cs="Arial"/>
          <w:sz w:val="20"/>
          <w:szCs w:val="20"/>
        </w:rPr>
      </w:pPr>
      <w:r w:rsidRPr="007C6DA5">
        <w:rPr>
          <w:rFonts w:ascii="Verdana" w:hAnsi="Verdana" w:cs="Arial"/>
          <w:bCs/>
          <w:sz w:val="20"/>
          <w:szCs w:val="20"/>
        </w:rPr>
        <w:t>Revision No.</w:t>
      </w:r>
      <w:r>
        <w:rPr>
          <w:rFonts w:ascii="Verdana" w:hAnsi="Verdana" w:cs="Arial"/>
          <w:sz w:val="20"/>
          <w:szCs w:val="20"/>
        </w:rPr>
        <w:t xml:space="preserve">: 3.1 </w:t>
      </w:r>
    </w:p>
    <w:p w:rsidR="00902956" w:rsidRPr="002A198F" w:rsidRDefault="002D41B7" w:rsidP="00902956">
      <w:pPr>
        <w:pStyle w:val="NoSpacing"/>
        <w:rPr>
          <w:rFonts w:ascii="Verdana" w:hAnsi="Verdana"/>
          <w:sz w:val="20"/>
          <w:szCs w:val="20"/>
        </w:rPr>
      </w:pPr>
    </w:p>
    <w:p w:rsidR="00902956" w:rsidRPr="00FC3EDD" w:rsidRDefault="002D41B7" w:rsidP="00902956">
      <w:pPr>
        <w:pStyle w:val="NoSpacing"/>
        <w:rPr>
          <w:rFonts w:ascii="Verdana" w:hAnsi="Verdana"/>
          <w:sz w:val="20"/>
          <w:szCs w:val="20"/>
        </w:rPr>
      </w:pPr>
      <w:r w:rsidRPr="00FC3EDD">
        <w:rPr>
          <w:rFonts w:ascii="Verdana" w:hAnsi="Verdana"/>
          <w:sz w:val="20"/>
          <w:szCs w:val="20"/>
        </w:rPr>
        <w:t xml:space="preserve">The “SciDept” Model is </w:t>
      </w:r>
      <w:r>
        <w:rPr>
          <w:rFonts w:ascii="Verdana" w:hAnsi="Verdana"/>
          <w:sz w:val="20"/>
          <w:szCs w:val="20"/>
        </w:rPr>
        <w:t xml:space="preserve">designed </w:t>
      </w:r>
      <w:r w:rsidRPr="00FC3EDD">
        <w:rPr>
          <w:rFonts w:ascii="Verdana" w:hAnsi="Verdana"/>
          <w:sz w:val="20"/>
          <w:szCs w:val="20"/>
        </w:rPr>
        <w:t xml:space="preserve">to project the twelve year cost of creating and running a new science department for a local university. The two largest source of the revenue to fund this </w:t>
      </w:r>
      <w:r>
        <w:rPr>
          <w:rFonts w:ascii="Verdana" w:hAnsi="Verdana"/>
          <w:sz w:val="20"/>
          <w:szCs w:val="20"/>
        </w:rPr>
        <w:t>investmen</w:t>
      </w:r>
      <w:r>
        <w:rPr>
          <w:rFonts w:ascii="Verdana" w:hAnsi="Verdana"/>
          <w:sz w:val="20"/>
          <w:szCs w:val="20"/>
        </w:rPr>
        <w:t>t</w:t>
      </w:r>
      <w:r w:rsidRPr="00FC3EDD">
        <w:rPr>
          <w:rFonts w:ascii="Verdana" w:hAnsi="Verdana"/>
          <w:sz w:val="20"/>
          <w:szCs w:val="20"/>
        </w:rPr>
        <w:t xml:space="preserve"> </w:t>
      </w:r>
      <w:r>
        <w:rPr>
          <w:rFonts w:ascii="Verdana" w:hAnsi="Verdana"/>
          <w:sz w:val="20"/>
          <w:szCs w:val="20"/>
        </w:rPr>
        <w:t>are the</w:t>
      </w:r>
      <w:r w:rsidRPr="00FC3EDD">
        <w:rPr>
          <w:rFonts w:ascii="Verdana" w:hAnsi="Verdana"/>
          <w:sz w:val="20"/>
          <w:szCs w:val="20"/>
        </w:rPr>
        <w:t xml:space="preserve"> restricted endowment and </w:t>
      </w:r>
      <w:r>
        <w:rPr>
          <w:rFonts w:ascii="Verdana" w:hAnsi="Verdana"/>
          <w:sz w:val="20"/>
          <w:szCs w:val="20"/>
        </w:rPr>
        <w:t xml:space="preserve">the </w:t>
      </w:r>
      <w:r w:rsidRPr="00FC3EDD">
        <w:rPr>
          <w:rFonts w:ascii="Verdana" w:hAnsi="Verdana"/>
          <w:sz w:val="20"/>
          <w:szCs w:val="20"/>
        </w:rPr>
        <w:t>sponsored funding. The key expense driver</w:t>
      </w:r>
      <w:r>
        <w:rPr>
          <w:rFonts w:ascii="Verdana" w:hAnsi="Verdana"/>
          <w:sz w:val="20"/>
          <w:szCs w:val="20"/>
        </w:rPr>
        <w:t>s</w:t>
      </w:r>
      <w:r w:rsidRPr="00FC3EDD">
        <w:rPr>
          <w:rFonts w:ascii="Verdana" w:hAnsi="Verdana"/>
          <w:sz w:val="20"/>
          <w:szCs w:val="20"/>
        </w:rPr>
        <w:t xml:space="preserve"> will be the costs of the faculty, la</w:t>
      </w:r>
      <w:r>
        <w:rPr>
          <w:rFonts w:ascii="Verdana" w:hAnsi="Verdana"/>
          <w:sz w:val="20"/>
          <w:szCs w:val="20"/>
        </w:rPr>
        <w:t>b</w:t>
      </w:r>
      <w:r w:rsidRPr="00FC3EDD">
        <w:rPr>
          <w:rFonts w:ascii="Verdana" w:hAnsi="Verdana"/>
          <w:sz w:val="20"/>
          <w:szCs w:val="20"/>
        </w:rPr>
        <w:t xml:space="preserve"> operation, space and administrative cost. </w:t>
      </w:r>
    </w:p>
    <w:p w:rsidR="00902956" w:rsidRPr="00FC3EDD" w:rsidRDefault="002D41B7" w:rsidP="00902956">
      <w:pPr>
        <w:pStyle w:val="NoSpacing"/>
        <w:rPr>
          <w:rFonts w:ascii="Verdana" w:hAnsi="Verdana"/>
          <w:sz w:val="20"/>
          <w:szCs w:val="20"/>
        </w:rPr>
      </w:pPr>
    </w:p>
    <w:p w:rsidR="00902956" w:rsidRPr="00FC3EDD" w:rsidRDefault="002D41B7" w:rsidP="00902956">
      <w:pPr>
        <w:pStyle w:val="NoSpacing"/>
        <w:rPr>
          <w:rFonts w:ascii="Verdana" w:hAnsi="Verdana"/>
          <w:sz w:val="20"/>
          <w:szCs w:val="20"/>
        </w:rPr>
      </w:pPr>
      <w:r w:rsidRPr="00FC3EDD">
        <w:rPr>
          <w:rFonts w:ascii="Verdana" w:hAnsi="Verdana"/>
          <w:sz w:val="20"/>
          <w:szCs w:val="20"/>
        </w:rPr>
        <w:t>The user guide is divided into four sections:</w:t>
      </w:r>
    </w:p>
    <w:p w:rsidR="00902956" w:rsidRPr="00FC3EDD" w:rsidRDefault="002D41B7" w:rsidP="00902956">
      <w:pPr>
        <w:pStyle w:val="NoSpacing"/>
        <w:numPr>
          <w:ilvl w:val="0"/>
          <w:numId w:val="3"/>
        </w:numPr>
        <w:rPr>
          <w:rFonts w:ascii="Verdana" w:hAnsi="Verdana"/>
          <w:sz w:val="20"/>
          <w:szCs w:val="20"/>
        </w:rPr>
      </w:pPr>
      <w:r w:rsidRPr="00FC3EDD">
        <w:rPr>
          <w:rFonts w:ascii="Verdana" w:hAnsi="Verdana"/>
          <w:sz w:val="20"/>
          <w:szCs w:val="20"/>
        </w:rPr>
        <w:t>Location and meaning of input parameters and i</w:t>
      </w:r>
      <w:r w:rsidRPr="00FC3EDD">
        <w:rPr>
          <w:rFonts w:ascii="Verdana" w:hAnsi="Verdana"/>
          <w:sz w:val="20"/>
          <w:szCs w:val="20"/>
        </w:rPr>
        <w:t>nput stream</w:t>
      </w:r>
    </w:p>
    <w:p w:rsidR="00902956" w:rsidRPr="00FC3EDD" w:rsidRDefault="002D41B7" w:rsidP="00902956">
      <w:pPr>
        <w:pStyle w:val="NoSpacing"/>
        <w:numPr>
          <w:ilvl w:val="0"/>
          <w:numId w:val="3"/>
        </w:numPr>
        <w:rPr>
          <w:rFonts w:ascii="Verdana" w:hAnsi="Verdana"/>
          <w:sz w:val="20"/>
          <w:szCs w:val="20"/>
        </w:rPr>
      </w:pPr>
      <w:r w:rsidRPr="00FC3EDD">
        <w:rPr>
          <w:rFonts w:ascii="Verdana" w:hAnsi="Verdana"/>
          <w:sz w:val="20"/>
          <w:szCs w:val="20"/>
        </w:rPr>
        <w:t>Location and meaning of outputs</w:t>
      </w:r>
    </w:p>
    <w:p w:rsidR="00902956" w:rsidRPr="00FC3EDD" w:rsidRDefault="002D41B7" w:rsidP="00902956">
      <w:pPr>
        <w:pStyle w:val="NoSpacing"/>
        <w:numPr>
          <w:ilvl w:val="0"/>
          <w:numId w:val="3"/>
        </w:numPr>
        <w:rPr>
          <w:rFonts w:ascii="Verdana" w:hAnsi="Verdana"/>
          <w:sz w:val="20"/>
          <w:szCs w:val="20"/>
        </w:rPr>
      </w:pPr>
      <w:r w:rsidRPr="00FC3EDD">
        <w:rPr>
          <w:rFonts w:ascii="Verdana" w:hAnsi="Verdana"/>
          <w:sz w:val="20"/>
          <w:szCs w:val="20"/>
        </w:rPr>
        <w:t>Guide to visual cues and naming conventions</w:t>
      </w:r>
    </w:p>
    <w:p w:rsidR="00902956" w:rsidRPr="00FC3EDD" w:rsidRDefault="002D41B7" w:rsidP="00902956">
      <w:pPr>
        <w:pStyle w:val="NoSpacing"/>
        <w:numPr>
          <w:ilvl w:val="0"/>
          <w:numId w:val="3"/>
        </w:numPr>
        <w:rPr>
          <w:rFonts w:ascii="Verdana" w:hAnsi="Verdana"/>
          <w:sz w:val="20"/>
          <w:szCs w:val="20"/>
        </w:rPr>
      </w:pPr>
      <w:r w:rsidRPr="00FC3EDD">
        <w:rPr>
          <w:rFonts w:ascii="Verdana" w:hAnsi="Verdana"/>
          <w:sz w:val="20"/>
          <w:szCs w:val="20"/>
        </w:rPr>
        <w:t>Step-by-step use of the model</w:t>
      </w:r>
    </w:p>
    <w:p w:rsidR="00902956" w:rsidRPr="00FC3EDD" w:rsidRDefault="002D41B7" w:rsidP="00902956">
      <w:pPr>
        <w:pStyle w:val="NoSpacing"/>
        <w:rPr>
          <w:rFonts w:ascii="Verdana" w:hAnsi="Verdana"/>
          <w:sz w:val="20"/>
          <w:szCs w:val="20"/>
        </w:rPr>
      </w:pPr>
    </w:p>
    <w:p w:rsidR="00902956" w:rsidRDefault="002D41B7" w:rsidP="00902956">
      <w:pPr>
        <w:pStyle w:val="NoSpacing"/>
        <w:outlineLvl w:val="0"/>
        <w:rPr>
          <w:rFonts w:ascii="Verdana" w:hAnsi="Verdana"/>
          <w:b/>
          <w:sz w:val="20"/>
          <w:szCs w:val="20"/>
        </w:rPr>
      </w:pPr>
      <w:r>
        <w:rPr>
          <w:rFonts w:ascii="Verdana" w:hAnsi="Verdana"/>
          <w:b/>
          <w:sz w:val="20"/>
          <w:szCs w:val="20"/>
        </w:rPr>
        <w:t xml:space="preserve">1. </w:t>
      </w:r>
      <w:r w:rsidRPr="00FC3EDD">
        <w:rPr>
          <w:rFonts w:ascii="Verdana" w:hAnsi="Verdana"/>
          <w:b/>
          <w:sz w:val="20"/>
          <w:szCs w:val="20"/>
        </w:rPr>
        <w:t xml:space="preserve">Location and </w:t>
      </w:r>
      <w:r>
        <w:rPr>
          <w:rFonts w:ascii="Verdana" w:hAnsi="Verdana"/>
          <w:b/>
          <w:sz w:val="20"/>
          <w:szCs w:val="20"/>
        </w:rPr>
        <w:t>m</w:t>
      </w:r>
      <w:r w:rsidRPr="00FC3EDD">
        <w:rPr>
          <w:rFonts w:ascii="Verdana" w:hAnsi="Verdana"/>
          <w:b/>
          <w:sz w:val="20"/>
          <w:szCs w:val="20"/>
        </w:rPr>
        <w:t>eaning of input parameters and input stream</w:t>
      </w:r>
      <w:r>
        <w:rPr>
          <w:rFonts w:ascii="Verdana" w:hAnsi="Verdana"/>
          <w:b/>
          <w:sz w:val="20"/>
          <w:szCs w:val="20"/>
        </w:rPr>
        <w:t>s</w:t>
      </w:r>
    </w:p>
    <w:p w:rsidR="00902956" w:rsidRPr="00FC3EDD" w:rsidRDefault="002D41B7" w:rsidP="00902956">
      <w:pPr>
        <w:pStyle w:val="NoSpacing"/>
        <w:rPr>
          <w:rFonts w:ascii="Verdana" w:hAnsi="Verdana"/>
          <w:sz w:val="20"/>
          <w:szCs w:val="20"/>
        </w:rPr>
      </w:pPr>
      <w:r w:rsidRPr="00FC3EDD">
        <w:rPr>
          <w:rFonts w:ascii="Verdana" w:hAnsi="Verdana"/>
          <w:sz w:val="20"/>
          <w:szCs w:val="20"/>
        </w:rPr>
        <w:t xml:space="preserve">All </w:t>
      </w:r>
      <w:r>
        <w:rPr>
          <w:rFonts w:ascii="Verdana" w:hAnsi="Verdana"/>
          <w:sz w:val="20"/>
          <w:szCs w:val="20"/>
        </w:rPr>
        <w:t xml:space="preserve">input </w:t>
      </w:r>
      <w:r w:rsidRPr="00FC3EDD">
        <w:rPr>
          <w:rFonts w:ascii="Verdana" w:hAnsi="Verdana"/>
          <w:sz w:val="20"/>
          <w:szCs w:val="20"/>
        </w:rPr>
        <w:t xml:space="preserve">parameters </w:t>
      </w:r>
      <w:r>
        <w:rPr>
          <w:rFonts w:ascii="Verdana" w:hAnsi="Verdana"/>
          <w:sz w:val="20"/>
          <w:szCs w:val="20"/>
        </w:rPr>
        <w:t xml:space="preserve">and input streams </w:t>
      </w:r>
      <w:r w:rsidRPr="00FC3EDD">
        <w:rPr>
          <w:rFonts w:ascii="Verdana" w:hAnsi="Verdana"/>
          <w:sz w:val="20"/>
          <w:szCs w:val="20"/>
        </w:rPr>
        <w:t xml:space="preserve">are located in the </w:t>
      </w:r>
      <w:r>
        <w:rPr>
          <w:rFonts w:ascii="Verdana" w:hAnsi="Verdana"/>
          <w:sz w:val="20"/>
          <w:szCs w:val="20"/>
        </w:rPr>
        <w:t>work</w:t>
      </w:r>
      <w:r w:rsidRPr="00FC3EDD">
        <w:rPr>
          <w:rFonts w:ascii="Verdana" w:hAnsi="Verdana"/>
          <w:sz w:val="20"/>
          <w:szCs w:val="20"/>
        </w:rPr>
        <w:t xml:space="preserve">sheet called </w:t>
      </w:r>
      <w:r w:rsidRPr="00FC3EDD">
        <w:rPr>
          <w:rFonts w:ascii="Verdana" w:hAnsi="Verdana"/>
          <w:sz w:val="20"/>
          <w:szCs w:val="20"/>
        </w:rPr>
        <w:t>“InputsParameter</w:t>
      </w:r>
      <w:r>
        <w:rPr>
          <w:rFonts w:ascii="Verdana" w:hAnsi="Verdana"/>
          <w:sz w:val="20"/>
          <w:szCs w:val="20"/>
        </w:rPr>
        <w:t>s.</w:t>
      </w:r>
      <w:r w:rsidRPr="00FC3EDD">
        <w:rPr>
          <w:rFonts w:ascii="Verdana" w:hAnsi="Verdana"/>
          <w:sz w:val="20"/>
          <w:szCs w:val="20"/>
        </w:rPr>
        <w:t>”</w:t>
      </w:r>
      <w:r>
        <w:rPr>
          <w:rFonts w:ascii="Verdana" w:hAnsi="Verdana"/>
          <w:sz w:val="20"/>
          <w:szCs w:val="20"/>
        </w:rPr>
        <w:t xml:space="preserve"> All the following worksheets in the model are linked to the “InputsParameters” worksheet such that any changes in this worksheet will automatically affect the remaining sheets that use this data. </w:t>
      </w:r>
      <w:r w:rsidRPr="00FC3EDD">
        <w:rPr>
          <w:rFonts w:ascii="Verdana" w:hAnsi="Verdana"/>
          <w:sz w:val="20"/>
          <w:szCs w:val="20"/>
        </w:rPr>
        <w:t>All parameters are organized according t</w:t>
      </w:r>
      <w:r w:rsidRPr="00FC3EDD">
        <w:rPr>
          <w:rFonts w:ascii="Verdana" w:hAnsi="Verdana"/>
          <w:sz w:val="20"/>
          <w:szCs w:val="20"/>
        </w:rPr>
        <w:t xml:space="preserve">o the worksheet they will be used for. Below is the explanation of each parameter in “InputsParameter” worksheet. </w:t>
      </w:r>
    </w:p>
    <w:p w:rsidR="00902956" w:rsidRPr="00FC3EDD" w:rsidRDefault="002D41B7" w:rsidP="00902956">
      <w:pPr>
        <w:pStyle w:val="NoSpacing"/>
        <w:rPr>
          <w:rFonts w:ascii="Verdana" w:hAnsi="Verdana"/>
          <w:sz w:val="20"/>
          <w:szCs w:val="20"/>
        </w:rPr>
      </w:pPr>
    </w:p>
    <w:p w:rsidR="00902956" w:rsidRPr="007C6DA5" w:rsidRDefault="002D41B7" w:rsidP="00902956">
      <w:pPr>
        <w:pStyle w:val="NoSpacing"/>
        <w:outlineLvl w:val="0"/>
        <w:rPr>
          <w:rFonts w:ascii="Verdana" w:hAnsi="Verdana"/>
          <w:sz w:val="20"/>
          <w:szCs w:val="20"/>
        </w:rPr>
      </w:pPr>
      <w:r w:rsidRPr="007C6DA5">
        <w:rPr>
          <w:rFonts w:ascii="Verdana" w:hAnsi="Verdana"/>
          <w:sz w:val="20"/>
          <w:szCs w:val="20"/>
        </w:rPr>
        <w:t>Faculty Growth:</w:t>
      </w:r>
    </w:p>
    <w:p w:rsidR="00902956" w:rsidRPr="00FC3EDD" w:rsidRDefault="002D41B7" w:rsidP="00902956">
      <w:pPr>
        <w:pStyle w:val="NoSpacing"/>
        <w:numPr>
          <w:ilvl w:val="0"/>
          <w:numId w:val="4"/>
        </w:numPr>
        <w:rPr>
          <w:rFonts w:ascii="Verdana" w:hAnsi="Verdana"/>
          <w:sz w:val="20"/>
          <w:szCs w:val="20"/>
        </w:rPr>
      </w:pPr>
      <w:r w:rsidRPr="00FC3EDD">
        <w:rPr>
          <w:rFonts w:ascii="Verdana" w:hAnsi="Verdana"/>
          <w:sz w:val="20"/>
          <w:szCs w:val="20"/>
        </w:rPr>
        <w:t xml:space="preserve">Senior Faculty Recruitment Stream – This parameter indicates the hiring stream for senior faculty staff including the chair </w:t>
      </w:r>
      <w:r w:rsidRPr="00FC3EDD">
        <w:rPr>
          <w:rFonts w:ascii="Verdana" w:hAnsi="Verdana"/>
          <w:sz w:val="20"/>
          <w:szCs w:val="20"/>
        </w:rPr>
        <w:t>over a 12 year period</w:t>
      </w:r>
    </w:p>
    <w:p w:rsidR="00902956" w:rsidRPr="00FC3EDD" w:rsidRDefault="002D41B7" w:rsidP="00902956">
      <w:pPr>
        <w:pStyle w:val="NoSpacing"/>
        <w:numPr>
          <w:ilvl w:val="0"/>
          <w:numId w:val="4"/>
        </w:numPr>
        <w:rPr>
          <w:rFonts w:ascii="Verdana" w:hAnsi="Verdana"/>
          <w:sz w:val="20"/>
          <w:szCs w:val="20"/>
        </w:rPr>
      </w:pPr>
      <w:r w:rsidRPr="00FC3EDD">
        <w:rPr>
          <w:rFonts w:ascii="Verdana" w:hAnsi="Verdana"/>
          <w:sz w:val="20"/>
          <w:szCs w:val="20"/>
        </w:rPr>
        <w:t>Junior Faculty Recruitment Stream – This parameter indicates the hiring stream for Junior faculty over a 12 year period</w:t>
      </w:r>
    </w:p>
    <w:p w:rsidR="00902956" w:rsidRPr="007C6DA5" w:rsidRDefault="002D41B7" w:rsidP="00902956">
      <w:pPr>
        <w:pStyle w:val="NoSpacing"/>
        <w:outlineLvl w:val="0"/>
        <w:rPr>
          <w:rFonts w:ascii="Verdana" w:hAnsi="Verdana"/>
          <w:sz w:val="20"/>
          <w:szCs w:val="20"/>
        </w:rPr>
      </w:pPr>
      <w:r w:rsidRPr="007C6DA5">
        <w:rPr>
          <w:rFonts w:ascii="Verdana" w:hAnsi="Verdana"/>
          <w:sz w:val="20"/>
          <w:szCs w:val="20"/>
        </w:rPr>
        <w:t>Faculty Salary Inputs:</w:t>
      </w:r>
    </w:p>
    <w:p w:rsidR="00902956" w:rsidRPr="00FC3EDD" w:rsidRDefault="002D41B7" w:rsidP="00902956">
      <w:pPr>
        <w:pStyle w:val="NoSpacing"/>
        <w:numPr>
          <w:ilvl w:val="0"/>
          <w:numId w:val="4"/>
        </w:numPr>
        <w:rPr>
          <w:rFonts w:ascii="Verdana" w:hAnsi="Verdana"/>
          <w:sz w:val="20"/>
          <w:szCs w:val="20"/>
        </w:rPr>
      </w:pPr>
      <w:r w:rsidRPr="00FC3EDD">
        <w:rPr>
          <w:rFonts w:ascii="Verdana" w:hAnsi="Verdana"/>
          <w:sz w:val="20"/>
          <w:szCs w:val="20"/>
        </w:rPr>
        <w:t xml:space="preserve">Faculty Salary Assumptions – </w:t>
      </w:r>
      <w:r>
        <w:rPr>
          <w:rFonts w:ascii="Verdana" w:hAnsi="Verdana"/>
          <w:sz w:val="20"/>
          <w:szCs w:val="20"/>
        </w:rPr>
        <w:t>Annual s</w:t>
      </w:r>
      <w:r w:rsidRPr="00FC3EDD">
        <w:rPr>
          <w:rFonts w:ascii="Verdana" w:hAnsi="Verdana"/>
          <w:sz w:val="20"/>
          <w:szCs w:val="20"/>
        </w:rPr>
        <w:t xml:space="preserve">alary for staff </w:t>
      </w:r>
      <w:r>
        <w:rPr>
          <w:rFonts w:ascii="Verdana" w:hAnsi="Verdana"/>
          <w:sz w:val="20"/>
          <w:szCs w:val="20"/>
        </w:rPr>
        <w:t>including the Chair, existing faculty,</w:t>
      </w:r>
      <w:r>
        <w:rPr>
          <w:rFonts w:ascii="Verdana" w:hAnsi="Verdana"/>
          <w:sz w:val="20"/>
          <w:szCs w:val="20"/>
        </w:rPr>
        <w:t xml:space="preserve"> senior recruits and junior recruits</w:t>
      </w:r>
    </w:p>
    <w:p w:rsidR="00902956" w:rsidRPr="00FC3EDD" w:rsidRDefault="002D41B7" w:rsidP="00902956">
      <w:pPr>
        <w:pStyle w:val="NoSpacing"/>
        <w:numPr>
          <w:ilvl w:val="0"/>
          <w:numId w:val="4"/>
        </w:numPr>
        <w:rPr>
          <w:rFonts w:ascii="Verdana" w:hAnsi="Verdana"/>
          <w:sz w:val="20"/>
          <w:szCs w:val="20"/>
        </w:rPr>
      </w:pPr>
      <w:r w:rsidRPr="00FC3EDD">
        <w:rPr>
          <w:rFonts w:ascii="Verdana" w:hAnsi="Verdana"/>
          <w:sz w:val="20"/>
          <w:szCs w:val="20"/>
        </w:rPr>
        <w:t xml:space="preserve">Percentage Hard Salary &amp; Fringe Budgeted – </w:t>
      </w:r>
      <w:r>
        <w:rPr>
          <w:rFonts w:ascii="Verdana" w:hAnsi="Verdana"/>
          <w:sz w:val="20"/>
          <w:szCs w:val="20"/>
        </w:rPr>
        <w:t>Percentage of Salary and Fringe not covered by the grant</w:t>
      </w:r>
    </w:p>
    <w:p w:rsidR="00902956" w:rsidRPr="00FC3EDD" w:rsidRDefault="002D41B7" w:rsidP="00902956">
      <w:pPr>
        <w:pStyle w:val="NoSpacing"/>
        <w:numPr>
          <w:ilvl w:val="0"/>
          <w:numId w:val="4"/>
        </w:numPr>
        <w:rPr>
          <w:rFonts w:ascii="Verdana" w:hAnsi="Verdana"/>
          <w:sz w:val="20"/>
          <w:szCs w:val="20"/>
        </w:rPr>
      </w:pPr>
      <w:r>
        <w:rPr>
          <w:rFonts w:ascii="Verdana" w:hAnsi="Verdana"/>
          <w:sz w:val="20"/>
          <w:szCs w:val="20"/>
        </w:rPr>
        <w:t>Other Data:</w:t>
      </w:r>
      <w:r w:rsidRPr="00FC3EDD">
        <w:rPr>
          <w:rFonts w:ascii="Verdana" w:hAnsi="Verdana"/>
          <w:sz w:val="20"/>
          <w:szCs w:val="20"/>
        </w:rPr>
        <w:t xml:space="preserve"> </w:t>
      </w:r>
    </w:p>
    <w:p w:rsidR="00902956" w:rsidRPr="00FC3EDD" w:rsidRDefault="002D41B7" w:rsidP="00902956">
      <w:pPr>
        <w:pStyle w:val="NoSpacing"/>
        <w:numPr>
          <w:ilvl w:val="0"/>
          <w:numId w:val="17"/>
        </w:numPr>
        <w:rPr>
          <w:rFonts w:ascii="Verdana" w:hAnsi="Verdana"/>
          <w:sz w:val="20"/>
          <w:szCs w:val="20"/>
        </w:rPr>
      </w:pPr>
      <w:r w:rsidRPr="00FC3EDD">
        <w:rPr>
          <w:rFonts w:ascii="Verdana" w:hAnsi="Verdana"/>
          <w:sz w:val="20"/>
          <w:szCs w:val="20"/>
        </w:rPr>
        <w:t>Fringe – Benefit percentage</w:t>
      </w:r>
    </w:p>
    <w:p w:rsidR="00902956" w:rsidRPr="00FC3EDD" w:rsidRDefault="002D41B7" w:rsidP="00902956">
      <w:pPr>
        <w:pStyle w:val="NoSpacing"/>
        <w:numPr>
          <w:ilvl w:val="0"/>
          <w:numId w:val="17"/>
        </w:numPr>
        <w:rPr>
          <w:rFonts w:ascii="Verdana" w:hAnsi="Verdana"/>
          <w:sz w:val="20"/>
          <w:szCs w:val="20"/>
        </w:rPr>
      </w:pPr>
      <w:r w:rsidRPr="00FC3EDD">
        <w:rPr>
          <w:rFonts w:ascii="Verdana" w:hAnsi="Verdana"/>
          <w:sz w:val="20"/>
          <w:szCs w:val="20"/>
        </w:rPr>
        <w:t>Annual Salary &amp; fringe Inflation – Inflation rate per year</w:t>
      </w:r>
    </w:p>
    <w:p w:rsidR="00902956" w:rsidRPr="007C6DA5" w:rsidRDefault="002D41B7" w:rsidP="00902956">
      <w:pPr>
        <w:pStyle w:val="NoSpacing"/>
        <w:outlineLvl w:val="0"/>
        <w:rPr>
          <w:rFonts w:ascii="Verdana" w:hAnsi="Verdana"/>
          <w:sz w:val="20"/>
          <w:szCs w:val="20"/>
        </w:rPr>
      </w:pPr>
      <w:r w:rsidRPr="007C6DA5">
        <w:rPr>
          <w:rFonts w:ascii="Verdana" w:hAnsi="Verdana"/>
          <w:sz w:val="20"/>
          <w:szCs w:val="20"/>
        </w:rPr>
        <w:t>Space Inputs:</w:t>
      </w:r>
    </w:p>
    <w:p w:rsidR="00902956" w:rsidRPr="00FC3EDD" w:rsidRDefault="002D41B7" w:rsidP="00902956">
      <w:pPr>
        <w:pStyle w:val="NoSpacing"/>
        <w:numPr>
          <w:ilvl w:val="0"/>
          <w:numId w:val="4"/>
        </w:numPr>
        <w:rPr>
          <w:rFonts w:ascii="Verdana" w:hAnsi="Verdana"/>
          <w:sz w:val="20"/>
          <w:szCs w:val="20"/>
        </w:rPr>
      </w:pPr>
      <w:r w:rsidRPr="00FC3EDD">
        <w:rPr>
          <w:rFonts w:ascii="Verdana" w:hAnsi="Verdana"/>
          <w:sz w:val="20"/>
          <w:szCs w:val="20"/>
        </w:rPr>
        <w:t>Lab (</w:t>
      </w:r>
      <w:r w:rsidRPr="00FC3EDD">
        <w:rPr>
          <w:rFonts w:ascii="Verdana" w:hAnsi="Verdana"/>
          <w:sz w:val="20"/>
          <w:szCs w:val="20"/>
        </w:rPr>
        <w:t xml:space="preserve">wet) Space – Lab space required over the </w:t>
      </w:r>
      <w:r>
        <w:rPr>
          <w:rFonts w:ascii="Verdana" w:hAnsi="Verdana"/>
          <w:sz w:val="20"/>
          <w:szCs w:val="20"/>
        </w:rPr>
        <w:t xml:space="preserve">course of the </w:t>
      </w:r>
      <w:r w:rsidRPr="00FC3EDD">
        <w:rPr>
          <w:rFonts w:ascii="Verdana" w:hAnsi="Verdana"/>
          <w:sz w:val="20"/>
          <w:szCs w:val="20"/>
        </w:rPr>
        <w:t xml:space="preserve">12 year </w:t>
      </w:r>
      <w:r>
        <w:rPr>
          <w:rFonts w:ascii="Verdana" w:hAnsi="Verdana"/>
          <w:sz w:val="20"/>
          <w:szCs w:val="20"/>
        </w:rPr>
        <w:t>period by staff; this includes shared equipment and space as well</w:t>
      </w:r>
      <w:r w:rsidRPr="00FC3EDD">
        <w:rPr>
          <w:rFonts w:ascii="Verdana" w:hAnsi="Verdana"/>
          <w:sz w:val="20"/>
          <w:szCs w:val="20"/>
        </w:rPr>
        <w:t xml:space="preserve"> </w:t>
      </w:r>
    </w:p>
    <w:p w:rsidR="00902956" w:rsidRPr="00FC3EDD" w:rsidRDefault="002D41B7" w:rsidP="00902956">
      <w:pPr>
        <w:pStyle w:val="NoSpacing"/>
        <w:numPr>
          <w:ilvl w:val="0"/>
          <w:numId w:val="4"/>
        </w:numPr>
        <w:rPr>
          <w:rFonts w:ascii="Verdana" w:hAnsi="Verdana"/>
          <w:sz w:val="20"/>
          <w:szCs w:val="20"/>
        </w:rPr>
      </w:pPr>
      <w:r w:rsidRPr="00FC3EDD">
        <w:rPr>
          <w:rFonts w:ascii="Verdana" w:hAnsi="Verdana"/>
          <w:sz w:val="20"/>
          <w:szCs w:val="20"/>
        </w:rPr>
        <w:t xml:space="preserve">Dry Space – Office </w:t>
      </w:r>
      <w:r>
        <w:rPr>
          <w:rFonts w:ascii="Verdana" w:hAnsi="Verdana"/>
          <w:sz w:val="20"/>
          <w:szCs w:val="20"/>
        </w:rPr>
        <w:t xml:space="preserve">and admin </w:t>
      </w:r>
      <w:r w:rsidRPr="00FC3EDD">
        <w:rPr>
          <w:rFonts w:ascii="Verdana" w:hAnsi="Verdana"/>
          <w:sz w:val="20"/>
          <w:szCs w:val="20"/>
        </w:rPr>
        <w:t xml:space="preserve">space required over the </w:t>
      </w:r>
      <w:r>
        <w:rPr>
          <w:rFonts w:ascii="Verdana" w:hAnsi="Verdana"/>
          <w:sz w:val="20"/>
          <w:szCs w:val="20"/>
        </w:rPr>
        <w:t xml:space="preserve">course of the </w:t>
      </w:r>
      <w:r w:rsidRPr="00FC3EDD">
        <w:rPr>
          <w:rFonts w:ascii="Verdana" w:hAnsi="Verdana"/>
          <w:sz w:val="20"/>
          <w:szCs w:val="20"/>
        </w:rPr>
        <w:t>12 year period</w:t>
      </w:r>
    </w:p>
    <w:p w:rsidR="00902956" w:rsidRPr="00FC3EDD" w:rsidRDefault="002D41B7" w:rsidP="00902956">
      <w:pPr>
        <w:pStyle w:val="NoSpacing"/>
        <w:numPr>
          <w:ilvl w:val="0"/>
          <w:numId w:val="4"/>
        </w:numPr>
        <w:rPr>
          <w:rFonts w:ascii="Verdana" w:hAnsi="Verdana"/>
          <w:sz w:val="20"/>
          <w:szCs w:val="20"/>
        </w:rPr>
      </w:pPr>
      <w:r w:rsidRPr="00FC3EDD">
        <w:rPr>
          <w:rFonts w:ascii="Verdana" w:hAnsi="Verdana"/>
          <w:sz w:val="20"/>
          <w:szCs w:val="20"/>
        </w:rPr>
        <w:t>Other Data</w:t>
      </w:r>
      <w:r>
        <w:rPr>
          <w:rFonts w:ascii="Verdana" w:hAnsi="Verdana"/>
          <w:sz w:val="20"/>
          <w:szCs w:val="20"/>
        </w:rPr>
        <w:t>:</w:t>
      </w:r>
      <w:r w:rsidRPr="00FC3EDD">
        <w:rPr>
          <w:rFonts w:ascii="Verdana" w:hAnsi="Verdana"/>
          <w:sz w:val="20"/>
          <w:szCs w:val="20"/>
        </w:rPr>
        <w:t xml:space="preserve"> </w:t>
      </w:r>
    </w:p>
    <w:p w:rsidR="00902956" w:rsidRPr="00FC3EDD" w:rsidRDefault="002D41B7" w:rsidP="00902956">
      <w:pPr>
        <w:pStyle w:val="NoSpacing"/>
        <w:numPr>
          <w:ilvl w:val="0"/>
          <w:numId w:val="5"/>
        </w:numPr>
        <w:rPr>
          <w:rFonts w:ascii="Verdana" w:hAnsi="Verdana"/>
          <w:sz w:val="20"/>
          <w:szCs w:val="20"/>
        </w:rPr>
      </w:pPr>
      <w:r w:rsidRPr="00FC3EDD">
        <w:rPr>
          <w:rFonts w:ascii="Verdana" w:hAnsi="Verdana"/>
          <w:sz w:val="20"/>
          <w:szCs w:val="20"/>
        </w:rPr>
        <w:t>Ren</w:t>
      </w:r>
      <w:r>
        <w:rPr>
          <w:rFonts w:ascii="Verdana" w:hAnsi="Verdana"/>
          <w:sz w:val="20"/>
          <w:szCs w:val="20"/>
        </w:rPr>
        <w:t>ovation Cost/NASF (wet space</w:t>
      </w:r>
      <w:r>
        <w:rPr>
          <w:rFonts w:ascii="Verdana" w:hAnsi="Verdana"/>
          <w:sz w:val="20"/>
          <w:szCs w:val="20"/>
        </w:rPr>
        <w:t>) – Renovation cost of the wet space</w:t>
      </w:r>
    </w:p>
    <w:p w:rsidR="00902956" w:rsidRPr="00FC3EDD" w:rsidRDefault="002D41B7" w:rsidP="00902956">
      <w:pPr>
        <w:pStyle w:val="NoSpacing"/>
        <w:numPr>
          <w:ilvl w:val="0"/>
          <w:numId w:val="5"/>
        </w:numPr>
        <w:rPr>
          <w:rFonts w:ascii="Verdana" w:hAnsi="Verdana"/>
          <w:sz w:val="20"/>
          <w:szCs w:val="20"/>
        </w:rPr>
      </w:pPr>
      <w:r w:rsidRPr="00FC3EDD">
        <w:rPr>
          <w:rFonts w:ascii="Verdana" w:hAnsi="Verdana"/>
          <w:sz w:val="20"/>
          <w:szCs w:val="20"/>
        </w:rPr>
        <w:t xml:space="preserve">Renovation Cost/NASF (dry space) – </w:t>
      </w:r>
      <w:r>
        <w:rPr>
          <w:rFonts w:ascii="Verdana" w:hAnsi="Verdana"/>
          <w:sz w:val="20"/>
          <w:szCs w:val="20"/>
        </w:rPr>
        <w:t>Renovation cost of the dry space</w:t>
      </w:r>
    </w:p>
    <w:p w:rsidR="00902956" w:rsidRPr="00FC3EDD" w:rsidRDefault="002D41B7" w:rsidP="00902956">
      <w:pPr>
        <w:pStyle w:val="NoSpacing"/>
        <w:numPr>
          <w:ilvl w:val="0"/>
          <w:numId w:val="5"/>
        </w:numPr>
        <w:rPr>
          <w:rFonts w:ascii="Verdana" w:hAnsi="Verdana"/>
          <w:sz w:val="20"/>
          <w:szCs w:val="20"/>
        </w:rPr>
      </w:pPr>
      <w:r w:rsidRPr="00FC3EDD">
        <w:rPr>
          <w:rFonts w:ascii="Verdana" w:hAnsi="Verdana"/>
          <w:sz w:val="20"/>
          <w:szCs w:val="20"/>
        </w:rPr>
        <w:t>Annual Maintenance Costs ($/sqft) (wet space)</w:t>
      </w:r>
      <w:r>
        <w:rPr>
          <w:rFonts w:ascii="Verdana" w:hAnsi="Verdana"/>
          <w:sz w:val="20"/>
          <w:szCs w:val="20"/>
        </w:rPr>
        <w:t xml:space="preserve"> – Annual maintenance cost for the wet space</w:t>
      </w:r>
      <w:r w:rsidRPr="00FC3EDD">
        <w:rPr>
          <w:rFonts w:ascii="Verdana" w:hAnsi="Verdana"/>
          <w:sz w:val="20"/>
          <w:szCs w:val="20"/>
        </w:rPr>
        <w:t xml:space="preserve"> </w:t>
      </w:r>
    </w:p>
    <w:p w:rsidR="00902956" w:rsidRPr="00FC3EDD" w:rsidRDefault="002D41B7" w:rsidP="00902956">
      <w:pPr>
        <w:pStyle w:val="NoSpacing"/>
        <w:numPr>
          <w:ilvl w:val="0"/>
          <w:numId w:val="5"/>
        </w:numPr>
        <w:rPr>
          <w:rFonts w:ascii="Verdana" w:hAnsi="Verdana"/>
          <w:sz w:val="20"/>
          <w:szCs w:val="20"/>
        </w:rPr>
      </w:pPr>
      <w:r w:rsidRPr="00FC3EDD">
        <w:rPr>
          <w:rFonts w:ascii="Verdana" w:hAnsi="Verdana"/>
          <w:sz w:val="20"/>
          <w:szCs w:val="20"/>
        </w:rPr>
        <w:t xml:space="preserve">Annual Maintenance Cost ($/sqft) (dry Space) – </w:t>
      </w:r>
      <w:r>
        <w:rPr>
          <w:rFonts w:ascii="Verdana" w:hAnsi="Verdana"/>
          <w:sz w:val="20"/>
          <w:szCs w:val="20"/>
        </w:rPr>
        <w:t>Annual mainte</w:t>
      </w:r>
      <w:r>
        <w:rPr>
          <w:rFonts w:ascii="Verdana" w:hAnsi="Verdana"/>
          <w:sz w:val="20"/>
          <w:szCs w:val="20"/>
        </w:rPr>
        <w:t>nance cost for the dry space</w:t>
      </w:r>
    </w:p>
    <w:p w:rsidR="00902956" w:rsidRPr="00FC3EDD" w:rsidRDefault="002D41B7" w:rsidP="00902956">
      <w:pPr>
        <w:pStyle w:val="NoSpacing"/>
        <w:numPr>
          <w:ilvl w:val="0"/>
          <w:numId w:val="5"/>
        </w:numPr>
        <w:rPr>
          <w:rFonts w:ascii="Verdana" w:hAnsi="Verdana"/>
          <w:sz w:val="20"/>
          <w:szCs w:val="20"/>
        </w:rPr>
      </w:pPr>
      <w:r w:rsidRPr="00FC3EDD">
        <w:rPr>
          <w:rFonts w:ascii="Verdana" w:hAnsi="Verdana"/>
          <w:sz w:val="20"/>
          <w:szCs w:val="20"/>
        </w:rPr>
        <w:t xml:space="preserve">Construction and Maintenance Inflation – </w:t>
      </w:r>
      <w:r>
        <w:rPr>
          <w:rFonts w:ascii="Verdana" w:hAnsi="Verdana"/>
          <w:sz w:val="20"/>
          <w:szCs w:val="20"/>
        </w:rPr>
        <w:t>Inflation rate to adjust the construction and maintenance costs</w:t>
      </w:r>
    </w:p>
    <w:p w:rsidR="00902956" w:rsidRPr="00FC3EDD" w:rsidRDefault="002D41B7" w:rsidP="00902956">
      <w:pPr>
        <w:pStyle w:val="NoSpacing"/>
        <w:numPr>
          <w:ilvl w:val="0"/>
          <w:numId w:val="5"/>
        </w:numPr>
        <w:rPr>
          <w:rFonts w:ascii="Verdana" w:hAnsi="Verdana"/>
          <w:sz w:val="20"/>
          <w:szCs w:val="20"/>
        </w:rPr>
      </w:pPr>
      <w:r w:rsidRPr="00FC3EDD">
        <w:rPr>
          <w:rFonts w:ascii="Verdana" w:hAnsi="Verdana"/>
          <w:sz w:val="20"/>
          <w:szCs w:val="20"/>
        </w:rPr>
        <w:lastRenderedPageBreak/>
        <w:t>Renewal (years)</w:t>
      </w:r>
      <w:r>
        <w:rPr>
          <w:rFonts w:ascii="Verdana" w:hAnsi="Verdana"/>
          <w:sz w:val="20"/>
          <w:szCs w:val="20"/>
        </w:rPr>
        <w:t xml:space="preserve"> – Number of years after which a major renovation will be required</w:t>
      </w:r>
    </w:p>
    <w:p w:rsidR="00902956" w:rsidRPr="00FC3EDD" w:rsidRDefault="002D41B7" w:rsidP="00902956">
      <w:pPr>
        <w:pStyle w:val="NoSpacing"/>
        <w:numPr>
          <w:ilvl w:val="0"/>
          <w:numId w:val="5"/>
        </w:numPr>
        <w:rPr>
          <w:rFonts w:ascii="Verdana" w:hAnsi="Verdana"/>
          <w:sz w:val="20"/>
          <w:szCs w:val="20"/>
        </w:rPr>
      </w:pPr>
      <w:r w:rsidRPr="00FC3EDD">
        <w:rPr>
          <w:rFonts w:ascii="Verdana" w:hAnsi="Verdana"/>
          <w:sz w:val="20"/>
          <w:szCs w:val="20"/>
        </w:rPr>
        <w:t>Renewal Investment (% of original renova</w:t>
      </w:r>
      <w:r w:rsidRPr="00FC3EDD">
        <w:rPr>
          <w:rFonts w:ascii="Verdana" w:hAnsi="Verdana"/>
          <w:sz w:val="20"/>
          <w:szCs w:val="20"/>
        </w:rPr>
        <w:t xml:space="preserve">tion cost)- </w:t>
      </w:r>
      <w:r>
        <w:rPr>
          <w:rFonts w:ascii="Verdana" w:hAnsi="Verdana"/>
          <w:sz w:val="20"/>
          <w:szCs w:val="20"/>
        </w:rPr>
        <w:t>Percent of subsequent renovation cost as a percent of original renovation cost</w:t>
      </w:r>
    </w:p>
    <w:p w:rsidR="00902956" w:rsidRPr="00FC3EDD" w:rsidRDefault="002D41B7" w:rsidP="00902956">
      <w:pPr>
        <w:pStyle w:val="NoSpacing"/>
        <w:numPr>
          <w:ilvl w:val="0"/>
          <w:numId w:val="5"/>
        </w:numPr>
        <w:rPr>
          <w:rFonts w:ascii="Verdana" w:hAnsi="Verdana"/>
          <w:sz w:val="20"/>
          <w:szCs w:val="20"/>
        </w:rPr>
      </w:pPr>
      <w:r w:rsidRPr="00FC3EDD">
        <w:rPr>
          <w:rFonts w:ascii="Verdana" w:hAnsi="Verdana"/>
          <w:sz w:val="20"/>
          <w:szCs w:val="20"/>
        </w:rPr>
        <w:t xml:space="preserve">% Eligible for Debt Financing – </w:t>
      </w:r>
      <w:r>
        <w:rPr>
          <w:rFonts w:ascii="Verdana" w:hAnsi="Verdana"/>
          <w:sz w:val="20"/>
          <w:szCs w:val="20"/>
        </w:rPr>
        <w:t>Percentage of the cost that is eligible for debt financing</w:t>
      </w:r>
    </w:p>
    <w:p w:rsidR="00902956" w:rsidRPr="00FC3EDD" w:rsidRDefault="002D41B7" w:rsidP="00902956">
      <w:pPr>
        <w:pStyle w:val="NoSpacing"/>
        <w:numPr>
          <w:ilvl w:val="0"/>
          <w:numId w:val="5"/>
        </w:numPr>
        <w:rPr>
          <w:rFonts w:ascii="Verdana" w:hAnsi="Verdana"/>
          <w:sz w:val="20"/>
          <w:szCs w:val="20"/>
        </w:rPr>
      </w:pPr>
      <w:r w:rsidRPr="00FC3EDD">
        <w:rPr>
          <w:rFonts w:ascii="Verdana" w:hAnsi="Verdana"/>
          <w:sz w:val="20"/>
          <w:szCs w:val="20"/>
        </w:rPr>
        <w:t>Annual Debt Service –</w:t>
      </w:r>
      <w:r>
        <w:rPr>
          <w:rFonts w:ascii="Verdana" w:hAnsi="Verdana"/>
          <w:sz w:val="20"/>
          <w:szCs w:val="20"/>
        </w:rPr>
        <w:t xml:space="preserve"> Annual interest rate for debt financing</w:t>
      </w:r>
      <w:r w:rsidRPr="00FC3EDD">
        <w:rPr>
          <w:rFonts w:ascii="Verdana" w:hAnsi="Verdana"/>
          <w:sz w:val="20"/>
          <w:szCs w:val="20"/>
        </w:rPr>
        <w:t xml:space="preserve"> </w:t>
      </w:r>
    </w:p>
    <w:p w:rsidR="00902956" w:rsidRPr="00FC3EDD" w:rsidRDefault="002D41B7" w:rsidP="00902956">
      <w:pPr>
        <w:pStyle w:val="NoSpacing"/>
        <w:numPr>
          <w:ilvl w:val="0"/>
          <w:numId w:val="5"/>
        </w:numPr>
        <w:rPr>
          <w:rFonts w:ascii="Verdana" w:hAnsi="Verdana"/>
          <w:sz w:val="20"/>
          <w:szCs w:val="20"/>
        </w:rPr>
      </w:pPr>
      <w:r w:rsidRPr="00FC3EDD">
        <w:rPr>
          <w:rFonts w:ascii="Verdana" w:hAnsi="Verdana"/>
          <w:sz w:val="20"/>
          <w:szCs w:val="20"/>
        </w:rPr>
        <w:t>Payment Per</w:t>
      </w:r>
      <w:r w:rsidRPr="00FC3EDD">
        <w:rPr>
          <w:rFonts w:ascii="Verdana" w:hAnsi="Verdana"/>
          <w:sz w:val="20"/>
          <w:szCs w:val="20"/>
        </w:rPr>
        <w:t xml:space="preserve">iods – </w:t>
      </w:r>
      <w:r>
        <w:rPr>
          <w:rFonts w:ascii="Verdana" w:hAnsi="Verdana"/>
          <w:sz w:val="20"/>
          <w:szCs w:val="20"/>
        </w:rPr>
        <w:t xml:space="preserve">Debt payment period </w:t>
      </w:r>
    </w:p>
    <w:p w:rsidR="00902956" w:rsidRPr="007C6DA5" w:rsidRDefault="002D41B7" w:rsidP="00902956">
      <w:pPr>
        <w:pStyle w:val="NoSpacing"/>
        <w:outlineLvl w:val="0"/>
        <w:rPr>
          <w:rFonts w:ascii="Verdana" w:hAnsi="Verdana"/>
          <w:sz w:val="20"/>
          <w:szCs w:val="20"/>
        </w:rPr>
      </w:pPr>
      <w:r w:rsidRPr="007C6DA5">
        <w:rPr>
          <w:rFonts w:ascii="Verdana" w:hAnsi="Verdana"/>
          <w:sz w:val="20"/>
          <w:szCs w:val="20"/>
        </w:rPr>
        <w:t>Lab Operations Inputs:</w:t>
      </w:r>
    </w:p>
    <w:p w:rsidR="00902956" w:rsidRPr="00FC3EDD" w:rsidRDefault="002D41B7" w:rsidP="00902956">
      <w:pPr>
        <w:pStyle w:val="NoSpacing"/>
        <w:numPr>
          <w:ilvl w:val="0"/>
          <w:numId w:val="6"/>
        </w:numPr>
        <w:rPr>
          <w:rFonts w:ascii="Verdana" w:hAnsi="Verdana"/>
          <w:sz w:val="20"/>
          <w:szCs w:val="20"/>
        </w:rPr>
      </w:pPr>
      <w:r w:rsidRPr="00FC3EDD">
        <w:rPr>
          <w:rFonts w:ascii="Verdana" w:hAnsi="Verdana"/>
          <w:sz w:val="20"/>
          <w:szCs w:val="20"/>
        </w:rPr>
        <w:t xml:space="preserve">Senior Faculty Lab Cost – This consists of </w:t>
      </w:r>
      <w:r>
        <w:rPr>
          <w:rFonts w:ascii="Verdana" w:hAnsi="Verdana"/>
          <w:sz w:val="20"/>
          <w:szCs w:val="20"/>
        </w:rPr>
        <w:t xml:space="preserve">year 1 </w:t>
      </w:r>
      <w:r w:rsidRPr="00FC3EDD">
        <w:rPr>
          <w:rFonts w:ascii="Verdana" w:hAnsi="Verdana"/>
          <w:sz w:val="20"/>
          <w:szCs w:val="20"/>
        </w:rPr>
        <w:t xml:space="preserve">Animal Costs, Lab Personnel cost, and other costs like travel, publications, etc. Also </w:t>
      </w:r>
      <w:r>
        <w:rPr>
          <w:rFonts w:ascii="Verdana" w:hAnsi="Verdana"/>
          <w:sz w:val="20"/>
          <w:szCs w:val="20"/>
        </w:rPr>
        <w:t>includes t</w:t>
      </w:r>
      <w:r w:rsidRPr="00FC3EDD">
        <w:rPr>
          <w:rFonts w:ascii="Verdana" w:hAnsi="Verdana"/>
          <w:sz w:val="20"/>
          <w:szCs w:val="20"/>
        </w:rPr>
        <w:t xml:space="preserve">he inflation </w:t>
      </w:r>
      <w:r>
        <w:rPr>
          <w:rFonts w:ascii="Verdana" w:hAnsi="Verdana"/>
          <w:sz w:val="20"/>
          <w:szCs w:val="20"/>
        </w:rPr>
        <w:t>rate for each of these costs to appropriately</w:t>
      </w:r>
      <w:r>
        <w:rPr>
          <w:rFonts w:ascii="Verdana" w:hAnsi="Verdana"/>
          <w:sz w:val="20"/>
          <w:szCs w:val="20"/>
        </w:rPr>
        <w:t xml:space="preserve"> calculate the inflation adjusted costs in years 2 through 12</w:t>
      </w:r>
    </w:p>
    <w:p w:rsidR="00902956" w:rsidRPr="00FC3EDD" w:rsidRDefault="002D41B7" w:rsidP="00902956">
      <w:pPr>
        <w:pStyle w:val="NoSpacing"/>
        <w:numPr>
          <w:ilvl w:val="0"/>
          <w:numId w:val="6"/>
        </w:numPr>
        <w:rPr>
          <w:rFonts w:ascii="Verdana" w:hAnsi="Verdana"/>
          <w:sz w:val="20"/>
          <w:szCs w:val="20"/>
        </w:rPr>
      </w:pPr>
      <w:r w:rsidRPr="00FC3EDD">
        <w:rPr>
          <w:rFonts w:ascii="Verdana" w:hAnsi="Verdana"/>
          <w:sz w:val="20"/>
          <w:szCs w:val="20"/>
        </w:rPr>
        <w:t>Junior Faculty Lab Costs Stream – Lab cost for junior staff over the 12 year period</w:t>
      </w:r>
    </w:p>
    <w:p w:rsidR="00902956" w:rsidRPr="00FC3EDD" w:rsidRDefault="002D41B7" w:rsidP="00902956">
      <w:pPr>
        <w:pStyle w:val="NoSpacing"/>
        <w:numPr>
          <w:ilvl w:val="0"/>
          <w:numId w:val="6"/>
        </w:numPr>
        <w:rPr>
          <w:rFonts w:ascii="Verdana" w:hAnsi="Verdana"/>
          <w:sz w:val="20"/>
          <w:szCs w:val="20"/>
        </w:rPr>
      </w:pPr>
      <w:r w:rsidRPr="00FC3EDD">
        <w:rPr>
          <w:rFonts w:ascii="Verdana" w:hAnsi="Verdana"/>
          <w:sz w:val="20"/>
          <w:szCs w:val="20"/>
        </w:rPr>
        <w:t>Start-Up Costs – This consists of start-up package</w:t>
      </w:r>
      <w:r>
        <w:rPr>
          <w:rFonts w:ascii="Verdana" w:hAnsi="Verdana"/>
          <w:sz w:val="20"/>
          <w:szCs w:val="20"/>
        </w:rPr>
        <w:t>s</w:t>
      </w:r>
      <w:r w:rsidRPr="00FC3EDD">
        <w:rPr>
          <w:rFonts w:ascii="Verdana" w:hAnsi="Verdana"/>
          <w:sz w:val="20"/>
          <w:szCs w:val="20"/>
        </w:rPr>
        <w:t xml:space="preserve"> for the chair, senior staff and senior and junior recruits</w:t>
      </w:r>
      <w:r w:rsidRPr="00FC3EDD">
        <w:rPr>
          <w:rFonts w:ascii="Verdana" w:hAnsi="Verdana"/>
          <w:sz w:val="20"/>
          <w:szCs w:val="20"/>
        </w:rPr>
        <w:t xml:space="preserve"> with the </w:t>
      </w:r>
      <w:r>
        <w:rPr>
          <w:rFonts w:ascii="Verdana" w:hAnsi="Verdana"/>
          <w:sz w:val="20"/>
          <w:szCs w:val="20"/>
        </w:rPr>
        <w:t xml:space="preserve">corresponding draw down </w:t>
      </w:r>
      <w:r w:rsidRPr="00FC3EDD">
        <w:rPr>
          <w:rFonts w:ascii="Verdana" w:hAnsi="Verdana"/>
          <w:sz w:val="20"/>
          <w:szCs w:val="20"/>
        </w:rPr>
        <w:t>percentage</w:t>
      </w:r>
      <w:r>
        <w:rPr>
          <w:rFonts w:ascii="Verdana" w:hAnsi="Verdana"/>
          <w:sz w:val="20"/>
          <w:szCs w:val="20"/>
        </w:rPr>
        <w:t>s</w:t>
      </w:r>
      <w:r w:rsidRPr="00FC3EDD">
        <w:rPr>
          <w:rFonts w:ascii="Verdana" w:hAnsi="Verdana"/>
          <w:sz w:val="20"/>
          <w:szCs w:val="20"/>
        </w:rPr>
        <w:t xml:space="preserve"> </w:t>
      </w:r>
    </w:p>
    <w:p w:rsidR="00902956" w:rsidRPr="00FC3EDD" w:rsidRDefault="002D41B7" w:rsidP="00902956">
      <w:pPr>
        <w:pStyle w:val="NoSpacing"/>
        <w:numPr>
          <w:ilvl w:val="0"/>
          <w:numId w:val="6"/>
        </w:numPr>
        <w:rPr>
          <w:rFonts w:ascii="Verdana" w:hAnsi="Verdana"/>
          <w:sz w:val="20"/>
          <w:szCs w:val="20"/>
        </w:rPr>
      </w:pPr>
      <w:r w:rsidRPr="00FC3EDD">
        <w:rPr>
          <w:rFonts w:ascii="Verdana" w:hAnsi="Verdana"/>
          <w:sz w:val="20"/>
          <w:szCs w:val="20"/>
        </w:rPr>
        <w:t>Department Equipment Investment – Yearly cost of equipment</w:t>
      </w:r>
      <w:r>
        <w:rPr>
          <w:rFonts w:ascii="Verdana" w:hAnsi="Verdana"/>
          <w:sz w:val="20"/>
          <w:szCs w:val="20"/>
        </w:rPr>
        <w:t>s</w:t>
      </w:r>
      <w:r w:rsidRPr="00FC3EDD">
        <w:rPr>
          <w:rFonts w:ascii="Verdana" w:hAnsi="Verdana"/>
          <w:sz w:val="20"/>
          <w:szCs w:val="20"/>
        </w:rPr>
        <w:t xml:space="preserve"> </w:t>
      </w:r>
      <w:r>
        <w:rPr>
          <w:rFonts w:ascii="Verdana" w:hAnsi="Verdana"/>
          <w:sz w:val="20"/>
          <w:szCs w:val="20"/>
        </w:rPr>
        <w:t xml:space="preserve">to be </w:t>
      </w:r>
      <w:r w:rsidRPr="00FC3EDD">
        <w:rPr>
          <w:rFonts w:ascii="Verdana" w:hAnsi="Verdana"/>
          <w:sz w:val="20"/>
          <w:szCs w:val="20"/>
        </w:rPr>
        <w:t>purchase</w:t>
      </w:r>
      <w:r>
        <w:rPr>
          <w:rFonts w:ascii="Verdana" w:hAnsi="Verdana"/>
          <w:sz w:val="20"/>
          <w:szCs w:val="20"/>
        </w:rPr>
        <w:t>d over the course of the</w:t>
      </w:r>
      <w:r w:rsidRPr="00FC3EDD">
        <w:rPr>
          <w:rFonts w:ascii="Verdana" w:hAnsi="Verdana"/>
          <w:sz w:val="20"/>
          <w:szCs w:val="20"/>
        </w:rPr>
        <w:t xml:space="preserve"> 12 year period</w:t>
      </w:r>
    </w:p>
    <w:p w:rsidR="00902956" w:rsidRPr="00FC3EDD" w:rsidRDefault="002D41B7" w:rsidP="00902956">
      <w:pPr>
        <w:pStyle w:val="NoSpacing"/>
        <w:numPr>
          <w:ilvl w:val="0"/>
          <w:numId w:val="6"/>
        </w:numPr>
        <w:rPr>
          <w:rFonts w:ascii="Verdana" w:hAnsi="Verdana"/>
          <w:sz w:val="20"/>
          <w:szCs w:val="20"/>
        </w:rPr>
      </w:pPr>
      <w:r w:rsidRPr="00FC3EDD">
        <w:rPr>
          <w:rFonts w:ascii="Verdana" w:hAnsi="Verdana"/>
          <w:sz w:val="20"/>
          <w:szCs w:val="20"/>
        </w:rPr>
        <w:t>Other Data:</w:t>
      </w:r>
    </w:p>
    <w:p w:rsidR="00902956" w:rsidRPr="00FC3EDD" w:rsidRDefault="002D41B7" w:rsidP="00902956">
      <w:pPr>
        <w:pStyle w:val="NoSpacing"/>
        <w:numPr>
          <w:ilvl w:val="0"/>
          <w:numId w:val="7"/>
        </w:numPr>
        <w:rPr>
          <w:rFonts w:ascii="Verdana" w:hAnsi="Verdana"/>
          <w:sz w:val="20"/>
          <w:szCs w:val="20"/>
        </w:rPr>
      </w:pPr>
      <w:r w:rsidRPr="00FC3EDD">
        <w:rPr>
          <w:rFonts w:ascii="Verdana" w:hAnsi="Verdana"/>
          <w:sz w:val="20"/>
          <w:szCs w:val="20"/>
        </w:rPr>
        <w:t xml:space="preserve">Depreciation (Years) – </w:t>
      </w:r>
      <w:r>
        <w:rPr>
          <w:rFonts w:ascii="Verdana" w:hAnsi="Verdana"/>
          <w:sz w:val="20"/>
          <w:szCs w:val="20"/>
        </w:rPr>
        <w:t>Equipment depreciation period</w:t>
      </w:r>
    </w:p>
    <w:p w:rsidR="00902956" w:rsidRPr="00FC3EDD" w:rsidRDefault="002D41B7" w:rsidP="00902956">
      <w:pPr>
        <w:pStyle w:val="NoSpacing"/>
        <w:numPr>
          <w:ilvl w:val="0"/>
          <w:numId w:val="7"/>
        </w:numPr>
        <w:rPr>
          <w:rFonts w:ascii="Verdana" w:hAnsi="Verdana"/>
          <w:sz w:val="20"/>
          <w:szCs w:val="20"/>
        </w:rPr>
      </w:pPr>
      <w:r w:rsidRPr="00FC3EDD">
        <w:rPr>
          <w:rFonts w:ascii="Verdana" w:hAnsi="Verdana"/>
          <w:sz w:val="20"/>
          <w:szCs w:val="20"/>
        </w:rPr>
        <w:t>Debt Financing Threshold –</w:t>
      </w:r>
      <w:r>
        <w:rPr>
          <w:rFonts w:ascii="Verdana" w:hAnsi="Verdana"/>
          <w:sz w:val="20"/>
          <w:szCs w:val="20"/>
        </w:rPr>
        <w:t xml:space="preserve"> Min</w:t>
      </w:r>
      <w:r>
        <w:rPr>
          <w:rFonts w:ascii="Verdana" w:hAnsi="Verdana"/>
          <w:sz w:val="20"/>
          <w:szCs w:val="20"/>
        </w:rPr>
        <w:t>imum expense required for financing</w:t>
      </w:r>
    </w:p>
    <w:p w:rsidR="00902956" w:rsidRPr="00FC3EDD" w:rsidRDefault="002D41B7" w:rsidP="00902956">
      <w:pPr>
        <w:pStyle w:val="NoSpacing"/>
        <w:numPr>
          <w:ilvl w:val="0"/>
          <w:numId w:val="7"/>
        </w:numPr>
        <w:rPr>
          <w:rFonts w:ascii="Verdana" w:hAnsi="Verdana"/>
          <w:sz w:val="20"/>
          <w:szCs w:val="20"/>
        </w:rPr>
      </w:pPr>
      <w:r w:rsidRPr="00FC3EDD">
        <w:rPr>
          <w:rFonts w:ascii="Verdana" w:hAnsi="Verdana"/>
          <w:sz w:val="20"/>
          <w:szCs w:val="20"/>
        </w:rPr>
        <w:t>% Eligible for Debt Financing –</w:t>
      </w:r>
      <w:r>
        <w:rPr>
          <w:rFonts w:ascii="Verdana" w:hAnsi="Verdana"/>
          <w:sz w:val="20"/>
          <w:szCs w:val="20"/>
        </w:rPr>
        <w:t xml:space="preserve"> Percentage of the investment that is eligible for debt financing</w:t>
      </w:r>
    </w:p>
    <w:p w:rsidR="00902956" w:rsidRPr="00FC3EDD" w:rsidRDefault="002D41B7" w:rsidP="00902956">
      <w:pPr>
        <w:pStyle w:val="NoSpacing"/>
        <w:numPr>
          <w:ilvl w:val="0"/>
          <w:numId w:val="7"/>
        </w:numPr>
        <w:rPr>
          <w:rFonts w:ascii="Verdana" w:hAnsi="Verdana"/>
          <w:sz w:val="20"/>
          <w:szCs w:val="20"/>
        </w:rPr>
      </w:pPr>
      <w:r>
        <w:rPr>
          <w:rFonts w:ascii="Verdana" w:hAnsi="Verdana"/>
          <w:sz w:val="20"/>
          <w:szCs w:val="20"/>
        </w:rPr>
        <w:t>Debt Service</w:t>
      </w:r>
      <w:r w:rsidRPr="00FC3EDD">
        <w:rPr>
          <w:rFonts w:ascii="Verdana" w:hAnsi="Verdana"/>
          <w:sz w:val="20"/>
          <w:szCs w:val="20"/>
        </w:rPr>
        <w:t xml:space="preserve"> –</w:t>
      </w:r>
      <w:r>
        <w:rPr>
          <w:rFonts w:ascii="Verdana" w:hAnsi="Verdana"/>
          <w:sz w:val="20"/>
          <w:szCs w:val="20"/>
        </w:rPr>
        <w:t xml:space="preserve"> Interest rate for debt financing</w:t>
      </w:r>
    </w:p>
    <w:p w:rsidR="00902956" w:rsidRPr="00FC3EDD" w:rsidRDefault="002D41B7" w:rsidP="00902956">
      <w:pPr>
        <w:pStyle w:val="NoSpacing"/>
        <w:numPr>
          <w:ilvl w:val="0"/>
          <w:numId w:val="7"/>
        </w:numPr>
        <w:rPr>
          <w:rFonts w:ascii="Verdana" w:hAnsi="Verdana"/>
          <w:sz w:val="20"/>
          <w:szCs w:val="20"/>
        </w:rPr>
      </w:pPr>
      <w:r w:rsidRPr="00FC3EDD">
        <w:rPr>
          <w:rFonts w:ascii="Verdana" w:hAnsi="Verdana"/>
          <w:sz w:val="20"/>
          <w:szCs w:val="20"/>
        </w:rPr>
        <w:t>Equipment Finan</w:t>
      </w:r>
      <w:r>
        <w:rPr>
          <w:rFonts w:ascii="Verdana" w:hAnsi="Verdana"/>
          <w:sz w:val="20"/>
          <w:szCs w:val="20"/>
        </w:rPr>
        <w:t>cing period – Number of years the</w:t>
      </w:r>
      <w:r w:rsidRPr="00FC3EDD">
        <w:rPr>
          <w:rFonts w:ascii="Verdana" w:hAnsi="Verdana"/>
          <w:sz w:val="20"/>
          <w:szCs w:val="20"/>
        </w:rPr>
        <w:t xml:space="preserve"> equipment</w:t>
      </w:r>
      <w:r>
        <w:rPr>
          <w:rFonts w:ascii="Verdana" w:hAnsi="Verdana"/>
          <w:sz w:val="20"/>
          <w:szCs w:val="20"/>
        </w:rPr>
        <w:t>s</w:t>
      </w:r>
      <w:r w:rsidRPr="00FC3EDD">
        <w:rPr>
          <w:rFonts w:ascii="Verdana" w:hAnsi="Verdana"/>
          <w:sz w:val="20"/>
          <w:szCs w:val="20"/>
        </w:rPr>
        <w:t xml:space="preserve"> will be finance</w:t>
      </w:r>
      <w:r w:rsidRPr="00FC3EDD">
        <w:rPr>
          <w:rFonts w:ascii="Verdana" w:hAnsi="Verdana"/>
          <w:sz w:val="20"/>
          <w:szCs w:val="20"/>
        </w:rPr>
        <w:t>d for</w:t>
      </w:r>
    </w:p>
    <w:p w:rsidR="00902956" w:rsidRPr="007C6DA5" w:rsidRDefault="002D41B7" w:rsidP="00902956">
      <w:pPr>
        <w:pStyle w:val="NoSpacing"/>
        <w:outlineLvl w:val="0"/>
        <w:rPr>
          <w:rFonts w:ascii="Verdana" w:hAnsi="Verdana"/>
          <w:sz w:val="20"/>
          <w:szCs w:val="20"/>
        </w:rPr>
      </w:pPr>
      <w:r w:rsidRPr="007C6DA5">
        <w:rPr>
          <w:rFonts w:ascii="Verdana" w:hAnsi="Verdana"/>
          <w:sz w:val="20"/>
          <w:szCs w:val="20"/>
        </w:rPr>
        <w:t>Administrative Inputs:</w:t>
      </w:r>
    </w:p>
    <w:p w:rsidR="00902956" w:rsidRPr="00FC3EDD" w:rsidRDefault="002D41B7" w:rsidP="00902956">
      <w:pPr>
        <w:pStyle w:val="NoSpacing"/>
        <w:numPr>
          <w:ilvl w:val="0"/>
          <w:numId w:val="9"/>
        </w:numPr>
        <w:rPr>
          <w:rFonts w:ascii="Verdana" w:hAnsi="Verdana"/>
          <w:b/>
          <w:sz w:val="20"/>
          <w:szCs w:val="20"/>
        </w:rPr>
      </w:pPr>
      <w:r w:rsidRPr="00FC3EDD">
        <w:rPr>
          <w:rFonts w:ascii="Verdana" w:hAnsi="Verdana"/>
          <w:sz w:val="20"/>
          <w:szCs w:val="20"/>
        </w:rPr>
        <w:t>Department Administrative Costs –</w:t>
      </w:r>
      <w:r>
        <w:rPr>
          <w:rFonts w:ascii="Verdana" w:hAnsi="Verdana"/>
          <w:sz w:val="20"/>
          <w:szCs w:val="20"/>
        </w:rPr>
        <w:t xml:space="preserve"> Admin cost as a percentage of non-space cost (i.e., faculty benefits and lab operations costs)</w:t>
      </w:r>
      <w:r w:rsidRPr="00FC3EDD">
        <w:rPr>
          <w:rFonts w:ascii="Verdana" w:hAnsi="Verdana"/>
          <w:sz w:val="20"/>
          <w:szCs w:val="20"/>
        </w:rPr>
        <w:t xml:space="preserve"> </w:t>
      </w:r>
    </w:p>
    <w:p w:rsidR="00902956" w:rsidRPr="007C6DA5" w:rsidRDefault="002D41B7" w:rsidP="00902956">
      <w:pPr>
        <w:pStyle w:val="NoSpacing"/>
        <w:outlineLvl w:val="0"/>
        <w:rPr>
          <w:rFonts w:ascii="Verdana" w:hAnsi="Verdana"/>
          <w:sz w:val="20"/>
          <w:szCs w:val="20"/>
        </w:rPr>
      </w:pPr>
      <w:r w:rsidRPr="007C6DA5">
        <w:rPr>
          <w:rFonts w:ascii="Verdana" w:hAnsi="Verdana"/>
          <w:sz w:val="20"/>
          <w:szCs w:val="20"/>
        </w:rPr>
        <w:t>Sponsored revenue Inputs:</w:t>
      </w:r>
    </w:p>
    <w:p w:rsidR="00902956" w:rsidRPr="00FC3EDD" w:rsidRDefault="002D41B7" w:rsidP="00902956">
      <w:pPr>
        <w:pStyle w:val="NoSpacing"/>
        <w:numPr>
          <w:ilvl w:val="0"/>
          <w:numId w:val="9"/>
        </w:numPr>
        <w:rPr>
          <w:rFonts w:ascii="Verdana" w:hAnsi="Verdana"/>
          <w:b/>
          <w:sz w:val="20"/>
          <w:szCs w:val="20"/>
        </w:rPr>
      </w:pPr>
      <w:r w:rsidRPr="00FC3EDD">
        <w:rPr>
          <w:rFonts w:ascii="Verdana" w:hAnsi="Verdana"/>
          <w:sz w:val="20"/>
          <w:szCs w:val="20"/>
        </w:rPr>
        <w:t>Sponsored Research Assumption –</w:t>
      </w:r>
      <w:r>
        <w:rPr>
          <w:rFonts w:ascii="Verdana" w:hAnsi="Verdana"/>
          <w:sz w:val="20"/>
          <w:szCs w:val="20"/>
        </w:rPr>
        <w:t xml:space="preserve"> Input to calculate revenue by senior an</w:t>
      </w:r>
      <w:r>
        <w:rPr>
          <w:rFonts w:ascii="Verdana" w:hAnsi="Verdana"/>
          <w:sz w:val="20"/>
          <w:szCs w:val="20"/>
        </w:rPr>
        <w:t xml:space="preserve">d junior faculty’s sponsored research based on the average grant submitted, average grant amount and average success rate annually </w:t>
      </w:r>
      <w:r w:rsidRPr="00FC3EDD">
        <w:rPr>
          <w:rFonts w:ascii="Verdana" w:hAnsi="Verdana"/>
          <w:sz w:val="20"/>
          <w:szCs w:val="20"/>
        </w:rPr>
        <w:t xml:space="preserve"> </w:t>
      </w:r>
    </w:p>
    <w:p w:rsidR="00902956" w:rsidRPr="00FC3EDD" w:rsidRDefault="002D41B7" w:rsidP="00902956">
      <w:pPr>
        <w:pStyle w:val="NoSpacing"/>
        <w:numPr>
          <w:ilvl w:val="0"/>
          <w:numId w:val="9"/>
        </w:numPr>
        <w:rPr>
          <w:rFonts w:ascii="Verdana" w:hAnsi="Verdana"/>
          <w:b/>
          <w:sz w:val="20"/>
          <w:szCs w:val="20"/>
        </w:rPr>
      </w:pPr>
      <w:r w:rsidRPr="00FC3EDD">
        <w:rPr>
          <w:rFonts w:ascii="Verdana" w:hAnsi="Verdana"/>
          <w:sz w:val="20"/>
          <w:szCs w:val="20"/>
        </w:rPr>
        <w:t>Other</w:t>
      </w:r>
      <w:r>
        <w:rPr>
          <w:rFonts w:ascii="Verdana" w:hAnsi="Verdana"/>
          <w:sz w:val="20"/>
          <w:szCs w:val="20"/>
        </w:rPr>
        <w:t xml:space="preserve"> Data</w:t>
      </w:r>
      <w:r w:rsidRPr="00FC3EDD">
        <w:rPr>
          <w:rFonts w:ascii="Verdana" w:hAnsi="Verdana"/>
          <w:sz w:val="20"/>
          <w:szCs w:val="20"/>
        </w:rPr>
        <w:t xml:space="preserve">: </w:t>
      </w:r>
    </w:p>
    <w:p w:rsidR="00902956" w:rsidRPr="00FC3EDD" w:rsidRDefault="002D41B7" w:rsidP="00902956">
      <w:pPr>
        <w:pStyle w:val="NoSpacing"/>
        <w:numPr>
          <w:ilvl w:val="0"/>
          <w:numId w:val="11"/>
        </w:numPr>
        <w:rPr>
          <w:rFonts w:ascii="Verdana" w:hAnsi="Verdana"/>
          <w:sz w:val="20"/>
          <w:szCs w:val="20"/>
        </w:rPr>
      </w:pPr>
      <w:r w:rsidRPr="00FC3EDD">
        <w:rPr>
          <w:rFonts w:ascii="Verdana" w:hAnsi="Verdana"/>
          <w:sz w:val="20"/>
          <w:szCs w:val="20"/>
        </w:rPr>
        <w:t xml:space="preserve">Federal Indirect Rate (Facility) – </w:t>
      </w:r>
      <w:r>
        <w:rPr>
          <w:rFonts w:ascii="Verdana" w:hAnsi="Verdana"/>
          <w:sz w:val="20"/>
          <w:szCs w:val="20"/>
        </w:rPr>
        <w:t>Facility indirect grant expressed as a percentage of the direct grant recei</w:t>
      </w:r>
      <w:r>
        <w:rPr>
          <w:rFonts w:ascii="Verdana" w:hAnsi="Verdana"/>
          <w:sz w:val="20"/>
          <w:szCs w:val="20"/>
        </w:rPr>
        <w:t>ved by senior and junior faculty</w:t>
      </w:r>
    </w:p>
    <w:p w:rsidR="00902956" w:rsidRPr="00FC3EDD" w:rsidRDefault="002D41B7" w:rsidP="00902956">
      <w:pPr>
        <w:pStyle w:val="NoSpacing"/>
        <w:numPr>
          <w:ilvl w:val="0"/>
          <w:numId w:val="11"/>
        </w:numPr>
        <w:rPr>
          <w:rFonts w:ascii="Verdana" w:hAnsi="Verdana"/>
          <w:sz w:val="20"/>
          <w:szCs w:val="20"/>
        </w:rPr>
      </w:pPr>
      <w:r w:rsidRPr="00FC3EDD">
        <w:rPr>
          <w:rFonts w:ascii="Verdana" w:hAnsi="Verdana"/>
          <w:sz w:val="20"/>
          <w:szCs w:val="20"/>
        </w:rPr>
        <w:t>Federal Indirect Rate (Administrative) –</w:t>
      </w:r>
      <w:r>
        <w:rPr>
          <w:rFonts w:ascii="Verdana" w:hAnsi="Verdana"/>
          <w:sz w:val="20"/>
          <w:szCs w:val="20"/>
        </w:rPr>
        <w:t xml:space="preserve"> Admin indirect grant expressed as a percentage of the direct grant received by senior and junior faculty</w:t>
      </w:r>
    </w:p>
    <w:p w:rsidR="00902956" w:rsidRPr="00FC3EDD" w:rsidRDefault="002D41B7" w:rsidP="00902956">
      <w:pPr>
        <w:pStyle w:val="NoSpacing"/>
        <w:numPr>
          <w:ilvl w:val="0"/>
          <w:numId w:val="11"/>
        </w:numPr>
        <w:rPr>
          <w:rFonts w:ascii="Verdana" w:hAnsi="Verdana"/>
          <w:sz w:val="20"/>
          <w:szCs w:val="20"/>
        </w:rPr>
      </w:pPr>
      <w:r w:rsidRPr="00FC3EDD">
        <w:rPr>
          <w:rFonts w:ascii="Verdana" w:hAnsi="Verdana"/>
          <w:sz w:val="20"/>
          <w:szCs w:val="20"/>
        </w:rPr>
        <w:t xml:space="preserve">Grant Inflation – </w:t>
      </w:r>
      <w:r>
        <w:rPr>
          <w:rFonts w:ascii="Verdana" w:hAnsi="Verdana"/>
          <w:sz w:val="20"/>
          <w:szCs w:val="20"/>
        </w:rPr>
        <w:t>Inflation rate for the grant amounts</w:t>
      </w:r>
    </w:p>
    <w:p w:rsidR="00902956" w:rsidRPr="007C6DA5" w:rsidRDefault="002D41B7" w:rsidP="00902956">
      <w:pPr>
        <w:pStyle w:val="NoSpacing"/>
        <w:outlineLvl w:val="0"/>
        <w:rPr>
          <w:rFonts w:ascii="Verdana" w:hAnsi="Verdana"/>
          <w:sz w:val="20"/>
          <w:szCs w:val="20"/>
        </w:rPr>
      </w:pPr>
      <w:r w:rsidRPr="007C6DA5">
        <w:rPr>
          <w:rFonts w:ascii="Verdana" w:hAnsi="Verdana"/>
          <w:sz w:val="20"/>
          <w:szCs w:val="20"/>
        </w:rPr>
        <w:t>Endowment Revenue Inpu</w:t>
      </w:r>
      <w:r w:rsidRPr="007C6DA5">
        <w:rPr>
          <w:rFonts w:ascii="Verdana" w:hAnsi="Verdana"/>
          <w:sz w:val="20"/>
          <w:szCs w:val="20"/>
        </w:rPr>
        <w:t>ts:</w:t>
      </w:r>
    </w:p>
    <w:p w:rsidR="00902956" w:rsidRPr="00FC3EDD" w:rsidRDefault="002D41B7" w:rsidP="00902956">
      <w:pPr>
        <w:pStyle w:val="NoSpacing"/>
        <w:numPr>
          <w:ilvl w:val="0"/>
          <w:numId w:val="12"/>
        </w:numPr>
        <w:rPr>
          <w:rFonts w:ascii="Verdana" w:hAnsi="Verdana"/>
          <w:sz w:val="20"/>
          <w:szCs w:val="20"/>
        </w:rPr>
      </w:pPr>
      <w:r w:rsidRPr="00FC3EDD">
        <w:rPr>
          <w:rFonts w:ascii="Verdana" w:hAnsi="Verdana"/>
          <w:sz w:val="20"/>
          <w:szCs w:val="20"/>
        </w:rPr>
        <w:t>E</w:t>
      </w:r>
      <w:r>
        <w:rPr>
          <w:rFonts w:ascii="Verdana" w:hAnsi="Verdana"/>
          <w:sz w:val="20"/>
          <w:szCs w:val="20"/>
        </w:rPr>
        <w:t>ndowed Professorships – Market value at year 1 of the Chair and s</w:t>
      </w:r>
      <w:r w:rsidRPr="00FC3EDD">
        <w:rPr>
          <w:rFonts w:ascii="Verdana" w:hAnsi="Verdana"/>
          <w:sz w:val="20"/>
          <w:szCs w:val="20"/>
        </w:rPr>
        <w:t xml:space="preserve">enior </w:t>
      </w:r>
      <w:r>
        <w:rPr>
          <w:rFonts w:ascii="Verdana" w:hAnsi="Verdana"/>
          <w:sz w:val="20"/>
          <w:szCs w:val="20"/>
        </w:rPr>
        <w:t>s</w:t>
      </w:r>
      <w:r w:rsidRPr="00FC3EDD">
        <w:rPr>
          <w:rFonts w:ascii="Verdana" w:hAnsi="Verdana"/>
          <w:sz w:val="20"/>
          <w:szCs w:val="20"/>
        </w:rPr>
        <w:t>taff</w:t>
      </w:r>
      <w:r>
        <w:rPr>
          <w:rFonts w:ascii="Verdana" w:hAnsi="Verdana"/>
          <w:sz w:val="20"/>
          <w:szCs w:val="20"/>
        </w:rPr>
        <w:t xml:space="preserve"> endowments; </w:t>
      </w:r>
      <w:r w:rsidRPr="00FC3EDD">
        <w:rPr>
          <w:rFonts w:ascii="Verdana" w:hAnsi="Verdana"/>
          <w:sz w:val="20"/>
          <w:szCs w:val="20"/>
        </w:rPr>
        <w:t xml:space="preserve">amount </w:t>
      </w:r>
      <w:r>
        <w:rPr>
          <w:rFonts w:ascii="Verdana" w:hAnsi="Verdana"/>
          <w:sz w:val="20"/>
          <w:szCs w:val="20"/>
        </w:rPr>
        <w:t>to be</w:t>
      </w:r>
      <w:r w:rsidRPr="00FC3EDD">
        <w:rPr>
          <w:rFonts w:ascii="Verdana" w:hAnsi="Verdana"/>
          <w:sz w:val="20"/>
          <w:szCs w:val="20"/>
        </w:rPr>
        <w:t xml:space="preserve"> invest</w:t>
      </w:r>
      <w:r>
        <w:rPr>
          <w:rFonts w:ascii="Verdana" w:hAnsi="Verdana"/>
          <w:sz w:val="20"/>
          <w:szCs w:val="20"/>
        </w:rPr>
        <w:t xml:space="preserve">ed to </w:t>
      </w:r>
      <w:r w:rsidRPr="00FC3EDD">
        <w:rPr>
          <w:rFonts w:ascii="Verdana" w:hAnsi="Verdana"/>
          <w:sz w:val="20"/>
          <w:szCs w:val="20"/>
        </w:rPr>
        <w:t>generate revenue for the department</w:t>
      </w:r>
    </w:p>
    <w:p w:rsidR="00902956" w:rsidRPr="00FC3EDD" w:rsidRDefault="002D41B7" w:rsidP="00902956">
      <w:pPr>
        <w:pStyle w:val="NoSpacing"/>
        <w:numPr>
          <w:ilvl w:val="0"/>
          <w:numId w:val="12"/>
        </w:numPr>
        <w:rPr>
          <w:rFonts w:ascii="Verdana" w:hAnsi="Verdana"/>
          <w:sz w:val="20"/>
          <w:szCs w:val="20"/>
        </w:rPr>
      </w:pPr>
      <w:r w:rsidRPr="00FC3EDD">
        <w:rPr>
          <w:rFonts w:ascii="Verdana" w:hAnsi="Verdana"/>
          <w:sz w:val="20"/>
          <w:szCs w:val="20"/>
        </w:rPr>
        <w:t>Other Data:</w:t>
      </w:r>
    </w:p>
    <w:p w:rsidR="00902956" w:rsidRPr="00FC3EDD" w:rsidRDefault="002D41B7" w:rsidP="00902956">
      <w:pPr>
        <w:pStyle w:val="NoSpacing"/>
        <w:numPr>
          <w:ilvl w:val="0"/>
          <w:numId w:val="15"/>
        </w:numPr>
        <w:rPr>
          <w:rFonts w:ascii="Verdana" w:hAnsi="Verdana"/>
          <w:sz w:val="20"/>
          <w:szCs w:val="20"/>
        </w:rPr>
      </w:pPr>
      <w:r>
        <w:rPr>
          <w:rFonts w:ascii="Verdana" w:hAnsi="Verdana"/>
          <w:sz w:val="20"/>
          <w:szCs w:val="20"/>
        </w:rPr>
        <w:t xml:space="preserve">Endowment Return </w:t>
      </w:r>
      <w:r w:rsidRPr="00FC3EDD">
        <w:rPr>
          <w:rFonts w:ascii="Verdana" w:hAnsi="Verdana"/>
          <w:sz w:val="20"/>
          <w:szCs w:val="20"/>
        </w:rPr>
        <w:t>–</w:t>
      </w:r>
      <w:r>
        <w:rPr>
          <w:rFonts w:ascii="Verdana" w:hAnsi="Verdana"/>
          <w:sz w:val="20"/>
          <w:szCs w:val="20"/>
        </w:rPr>
        <w:t xml:space="preserve"> </w:t>
      </w:r>
      <w:r w:rsidRPr="00FC3EDD">
        <w:rPr>
          <w:rFonts w:ascii="Verdana" w:hAnsi="Verdana"/>
          <w:sz w:val="20"/>
          <w:szCs w:val="20"/>
        </w:rPr>
        <w:t xml:space="preserve">return </w:t>
      </w:r>
      <w:r>
        <w:rPr>
          <w:rFonts w:ascii="Verdana" w:hAnsi="Verdana"/>
          <w:sz w:val="20"/>
          <w:szCs w:val="20"/>
        </w:rPr>
        <w:t xml:space="preserve">projected on </w:t>
      </w:r>
      <w:r w:rsidRPr="00FC3EDD">
        <w:rPr>
          <w:rFonts w:ascii="Verdana" w:hAnsi="Verdana"/>
          <w:sz w:val="20"/>
          <w:szCs w:val="20"/>
        </w:rPr>
        <w:t>the invested cash</w:t>
      </w:r>
    </w:p>
    <w:p w:rsidR="00902956" w:rsidRPr="00FC3EDD" w:rsidRDefault="002D41B7" w:rsidP="00902956">
      <w:pPr>
        <w:pStyle w:val="NoSpacing"/>
        <w:numPr>
          <w:ilvl w:val="0"/>
          <w:numId w:val="15"/>
        </w:numPr>
        <w:rPr>
          <w:rFonts w:ascii="Verdana" w:hAnsi="Verdana"/>
          <w:sz w:val="20"/>
          <w:szCs w:val="20"/>
        </w:rPr>
      </w:pPr>
      <w:r w:rsidRPr="00FC3EDD">
        <w:rPr>
          <w:rFonts w:ascii="Verdana" w:hAnsi="Verdana"/>
          <w:sz w:val="20"/>
          <w:szCs w:val="20"/>
        </w:rPr>
        <w:t>Distribution Rate – Percentage o</w:t>
      </w:r>
      <w:r w:rsidRPr="00FC3EDD">
        <w:rPr>
          <w:rFonts w:ascii="Verdana" w:hAnsi="Verdana"/>
          <w:sz w:val="20"/>
          <w:szCs w:val="20"/>
        </w:rPr>
        <w:t xml:space="preserve">f return that can be </w:t>
      </w:r>
      <w:r>
        <w:rPr>
          <w:rFonts w:ascii="Verdana" w:hAnsi="Verdana"/>
          <w:sz w:val="20"/>
          <w:szCs w:val="20"/>
        </w:rPr>
        <w:t xml:space="preserve">used to </w:t>
      </w:r>
      <w:r w:rsidRPr="00FC3EDD">
        <w:rPr>
          <w:rFonts w:ascii="Verdana" w:hAnsi="Verdana"/>
          <w:sz w:val="20"/>
          <w:szCs w:val="20"/>
        </w:rPr>
        <w:t>run the department</w:t>
      </w:r>
    </w:p>
    <w:p w:rsidR="00902956" w:rsidRPr="00FC3EDD" w:rsidRDefault="002D41B7" w:rsidP="00902956">
      <w:pPr>
        <w:pStyle w:val="NoSpacing"/>
        <w:rPr>
          <w:rFonts w:ascii="Verdana" w:hAnsi="Verdana"/>
          <w:sz w:val="20"/>
          <w:szCs w:val="20"/>
        </w:rPr>
      </w:pPr>
    </w:p>
    <w:p w:rsidR="00902956" w:rsidRDefault="002D41B7" w:rsidP="00902956">
      <w:pPr>
        <w:pStyle w:val="NoSpacing"/>
        <w:outlineLvl w:val="0"/>
        <w:rPr>
          <w:rFonts w:ascii="Verdana" w:hAnsi="Verdana"/>
          <w:b/>
          <w:sz w:val="20"/>
          <w:szCs w:val="20"/>
        </w:rPr>
      </w:pPr>
    </w:p>
    <w:p w:rsidR="00902956" w:rsidRDefault="002D41B7" w:rsidP="00902956">
      <w:pPr>
        <w:pStyle w:val="NoSpacing"/>
        <w:outlineLvl w:val="0"/>
        <w:rPr>
          <w:rFonts w:ascii="Verdana" w:hAnsi="Verdana"/>
          <w:b/>
          <w:sz w:val="20"/>
          <w:szCs w:val="20"/>
        </w:rPr>
      </w:pPr>
    </w:p>
    <w:p w:rsidR="00902956" w:rsidRDefault="002D41B7" w:rsidP="00902956">
      <w:pPr>
        <w:pStyle w:val="NoSpacing"/>
        <w:outlineLvl w:val="0"/>
        <w:rPr>
          <w:rFonts w:ascii="Verdana" w:hAnsi="Verdana"/>
          <w:b/>
          <w:sz w:val="20"/>
          <w:szCs w:val="20"/>
        </w:rPr>
      </w:pPr>
    </w:p>
    <w:p w:rsidR="00902956" w:rsidRPr="00FC3EDD" w:rsidRDefault="002D41B7" w:rsidP="00902956">
      <w:pPr>
        <w:pStyle w:val="NoSpacing"/>
        <w:outlineLvl w:val="0"/>
        <w:rPr>
          <w:rFonts w:ascii="Verdana" w:hAnsi="Verdana"/>
          <w:b/>
          <w:sz w:val="20"/>
          <w:szCs w:val="20"/>
        </w:rPr>
      </w:pPr>
      <w:r>
        <w:rPr>
          <w:rFonts w:ascii="Verdana" w:hAnsi="Verdana"/>
          <w:b/>
          <w:sz w:val="20"/>
          <w:szCs w:val="20"/>
        </w:rPr>
        <w:t xml:space="preserve">2. </w:t>
      </w:r>
      <w:r w:rsidRPr="00FC3EDD">
        <w:rPr>
          <w:rFonts w:ascii="Verdana" w:hAnsi="Verdana"/>
          <w:b/>
          <w:sz w:val="20"/>
          <w:szCs w:val="20"/>
        </w:rPr>
        <w:t xml:space="preserve">Location and meaning of </w:t>
      </w:r>
      <w:r>
        <w:rPr>
          <w:rFonts w:ascii="Verdana" w:hAnsi="Verdana"/>
          <w:b/>
          <w:sz w:val="20"/>
          <w:szCs w:val="20"/>
        </w:rPr>
        <w:t>o</w:t>
      </w:r>
      <w:r w:rsidRPr="00FC3EDD">
        <w:rPr>
          <w:rFonts w:ascii="Verdana" w:hAnsi="Verdana"/>
          <w:b/>
          <w:sz w:val="20"/>
          <w:szCs w:val="20"/>
        </w:rPr>
        <w:t>utputs</w:t>
      </w:r>
    </w:p>
    <w:p w:rsidR="00902956" w:rsidRPr="00FC3EDD" w:rsidRDefault="002D41B7" w:rsidP="00902956">
      <w:pPr>
        <w:pStyle w:val="NoSpacing"/>
        <w:rPr>
          <w:rFonts w:ascii="Verdana" w:hAnsi="Verdana"/>
          <w:sz w:val="20"/>
          <w:szCs w:val="20"/>
        </w:rPr>
      </w:pPr>
      <w:r>
        <w:rPr>
          <w:rFonts w:ascii="Verdana" w:hAnsi="Verdana"/>
          <w:sz w:val="20"/>
          <w:szCs w:val="20"/>
        </w:rPr>
        <w:lastRenderedPageBreak/>
        <w:t>All of the output streams of the model are provided in the “Summa</w:t>
      </w:r>
      <w:r w:rsidRPr="00FC3EDD">
        <w:rPr>
          <w:rFonts w:ascii="Verdana" w:hAnsi="Verdana"/>
          <w:sz w:val="20"/>
          <w:szCs w:val="20"/>
        </w:rPr>
        <w:t>ry</w:t>
      </w:r>
      <w:r>
        <w:rPr>
          <w:rFonts w:ascii="Verdana" w:hAnsi="Verdana"/>
          <w:sz w:val="20"/>
          <w:szCs w:val="20"/>
        </w:rPr>
        <w:t>”</w:t>
      </w:r>
      <w:r w:rsidRPr="00FC3EDD">
        <w:rPr>
          <w:rFonts w:ascii="Verdana" w:hAnsi="Verdana"/>
          <w:sz w:val="20"/>
          <w:szCs w:val="20"/>
        </w:rPr>
        <w:t xml:space="preserve"> worksheet</w:t>
      </w:r>
      <w:r>
        <w:rPr>
          <w:rFonts w:ascii="Verdana" w:hAnsi="Verdana"/>
          <w:sz w:val="20"/>
          <w:szCs w:val="20"/>
        </w:rPr>
        <w:t>. This worksheet</w:t>
      </w:r>
      <w:r w:rsidRPr="00FC3EDD">
        <w:rPr>
          <w:rFonts w:ascii="Verdana" w:hAnsi="Verdana"/>
          <w:sz w:val="20"/>
          <w:szCs w:val="20"/>
        </w:rPr>
        <w:t xml:space="preserve"> has the data necessary for the University to </w:t>
      </w:r>
      <w:r>
        <w:rPr>
          <w:rFonts w:ascii="Verdana" w:hAnsi="Verdana"/>
          <w:sz w:val="20"/>
          <w:szCs w:val="20"/>
        </w:rPr>
        <w:t xml:space="preserve">determine if it is feasible </w:t>
      </w:r>
      <w:r w:rsidRPr="00FC3EDD">
        <w:rPr>
          <w:rFonts w:ascii="Verdana" w:hAnsi="Verdana"/>
          <w:sz w:val="20"/>
          <w:szCs w:val="20"/>
        </w:rPr>
        <w:t>t</w:t>
      </w:r>
      <w:r w:rsidRPr="00FC3EDD">
        <w:rPr>
          <w:rFonts w:ascii="Verdana" w:hAnsi="Verdana"/>
          <w:sz w:val="20"/>
          <w:szCs w:val="20"/>
        </w:rPr>
        <w:t xml:space="preserve">o add a new department. </w:t>
      </w:r>
      <w:r>
        <w:rPr>
          <w:rFonts w:ascii="Verdana" w:hAnsi="Verdana"/>
          <w:sz w:val="20"/>
          <w:szCs w:val="20"/>
        </w:rPr>
        <w:t xml:space="preserve">The worksheet is designed to show the projected annual revenue, expenses and required investment over the 12 year period. User should understand that the “Summary” worksheet is simply an output that has resulted from the inputs and </w:t>
      </w:r>
      <w:r>
        <w:rPr>
          <w:rFonts w:ascii="Verdana" w:hAnsi="Verdana"/>
          <w:sz w:val="20"/>
          <w:szCs w:val="20"/>
        </w:rPr>
        <w:t>calculations conducted in other worksheets; thus, no changes in the values should be made on this worksheet. B</w:t>
      </w:r>
      <w:r w:rsidRPr="00FC3EDD">
        <w:rPr>
          <w:rFonts w:ascii="Verdana" w:hAnsi="Verdana"/>
          <w:sz w:val="20"/>
          <w:szCs w:val="20"/>
        </w:rPr>
        <w:t xml:space="preserve">elow are the </w:t>
      </w:r>
      <w:r>
        <w:rPr>
          <w:rFonts w:ascii="Verdana" w:hAnsi="Verdana"/>
          <w:sz w:val="20"/>
          <w:szCs w:val="20"/>
        </w:rPr>
        <w:t>meanings of each of the o</w:t>
      </w:r>
      <w:r w:rsidRPr="00FC3EDD">
        <w:rPr>
          <w:rFonts w:ascii="Verdana" w:hAnsi="Verdana"/>
          <w:sz w:val="20"/>
          <w:szCs w:val="20"/>
        </w:rPr>
        <w:t>utput</w:t>
      </w:r>
      <w:r>
        <w:rPr>
          <w:rFonts w:ascii="Verdana" w:hAnsi="Verdana"/>
          <w:sz w:val="20"/>
          <w:szCs w:val="20"/>
        </w:rPr>
        <w:t>s displayed i</w:t>
      </w:r>
      <w:r w:rsidRPr="00FC3EDD">
        <w:rPr>
          <w:rFonts w:ascii="Verdana" w:hAnsi="Verdana"/>
          <w:sz w:val="20"/>
          <w:szCs w:val="20"/>
        </w:rPr>
        <w:t>n this worksheet.</w:t>
      </w:r>
      <w:r>
        <w:rPr>
          <w:rFonts w:ascii="Verdana" w:hAnsi="Verdana"/>
          <w:sz w:val="20"/>
          <w:szCs w:val="20"/>
        </w:rPr>
        <w:t xml:space="preserve"> </w:t>
      </w:r>
    </w:p>
    <w:p w:rsidR="00902956" w:rsidRPr="00FC3EDD" w:rsidRDefault="002D41B7" w:rsidP="00902956">
      <w:pPr>
        <w:pStyle w:val="NoSpacing"/>
        <w:numPr>
          <w:ilvl w:val="0"/>
          <w:numId w:val="18"/>
        </w:numPr>
        <w:rPr>
          <w:rFonts w:ascii="Verdana" w:hAnsi="Verdana"/>
          <w:sz w:val="20"/>
          <w:szCs w:val="20"/>
        </w:rPr>
      </w:pPr>
      <w:r w:rsidRPr="00B30C94">
        <w:rPr>
          <w:rFonts w:ascii="Verdana" w:hAnsi="Verdana"/>
          <w:bCs/>
          <w:sz w:val="20"/>
          <w:szCs w:val="20"/>
        </w:rPr>
        <w:t>Annual Revenue</w:t>
      </w:r>
      <w:r>
        <w:rPr>
          <w:rFonts w:ascii="Verdana" w:hAnsi="Verdana"/>
          <w:bCs/>
          <w:sz w:val="20"/>
          <w:szCs w:val="20"/>
        </w:rPr>
        <w:t xml:space="preserve"> – Annual </w:t>
      </w:r>
      <w:r w:rsidRPr="00FC3EDD">
        <w:rPr>
          <w:rFonts w:ascii="Verdana" w:hAnsi="Verdana"/>
          <w:sz w:val="20"/>
          <w:szCs w:val="20"/>
        </w:rPr>
        <w:t xml:space="preserve">revenue </w:t>
      </w:r>
      <w:r>
        <w:rPr>
          <w:rFonts w:ascii="Verdana" w:hAnsi="Verdana"/>
          <w:sz w:val="20"/>
          <w:szCs w:val="20"/>
        </w:rPr>
        <w:t>from endowment distribution and sponsor</w:t>
      </w:r>
      <w:r>
        <w:rPr>
          <w:rFonts w:ascii="Verdana" w:hAnsi="Verdana"/>
          <w:sz w:val="20"/>
          <w:szCs w:val="20"/>
        </w:rPr>
        <w:t>ed grant over the 12 year period; the detailed calculation for annual endowment distribution and sponsored grant were conducted in the “</w:t>
      </w:r>
      <w:r w:rsidRPr="00FC3EDD">
        <w:rPr>
          <w:rFonts w:ascii="Verdana" w:hAnsi="Verdana"/>
          <w:sz w:val="20"/>
          <w:szCs w:val="20"/>
        </w:rPr>
        <w:t>EndowRev</w:t>
      </w:r>
      <w:r>
        <w:rPr>
          <w:rFonts w:ascii="Verdana" w:hAnsi="Verdana"/>
          <w:sz w:val="20"/>
          <w:szCs w:val="20"/>
        </w:rPr>
        <w:t>” and “SponsoredRev”</w:t>
      </w:r>
      <w:r w:rsidRPr="00FC3EDD">
        <w:rPr>
          <w:rFonts w:ascii="Verdana" w:hAnsi="Verdana"/>
          <w:sz w:val="20"/>
          <w:szCs w:val="20"/>
        </w:rPr>
        <w:t xml:space="preserve"> worksheet</w:t>
      </w:r>
      <w:r>
        <w:rPr>
          <w:rFonts w:ascii="Verdana" w:hAnsi="Verdana"/>
          <w:sz w:val="20"/>
          <w:szCs w:val="20"/>
        </w:rPr>
        <w:t>s, respectively. This output stream is named “TotalRevenue”</w:t>
      </w:r>
    </w:p>
    <w:p w:rsidR="00902956" w:rsidRDefault="002D41B7" w:rsidP="00902956">
      <w:pPr>
        <w:pStyle w:val="NoSpacing"/>
        <w:numPr>
          <w:ilvl w:val="0"/>
          <w:numId w:val="18"/>
        </w:numPr>
        <w:rPr>
          <w:rFonts w:ascii="Verdana" w:hAnsi="Verdana"/>
          <w:sz w:val="20"/>
          <w:szCs w:val="20"/>
        </w:rPr>
      </w:pPr>
      <w:r w:rsidRPr="008967F8">
        <w:rPr>
          <w:rFonts w:ascii="Verdana" w:hAnsi="Verdana"/>
          <w:bCs/>
          <w:sz w:val="20"/>
          <w:szCs w:val="20"/>
        </w:rPr>
        <w:t>Annual Expense</w:t>
      </w:r>
      <w:r>
        <w:rPr>
          <w:rFonts w:ascii="Verdana" w:hAnsi="Verdana"/>
          <w:bCs/>
          <w:sz w:val="20"/>
          <w:szCs w:val="20"/>
        </w:rPr>
        <w:t xml:space="preserve"> – Annua</w:t>
      </w:r>
      <w:r>
        <w:rPr>
          <w:rFonts w:ascii="Verdana" w:hAnsi="Verdana"/>
          <w:bCs/>
          <w:sz w:val="20"/>
          <w:szCs w:val="20"/>
        </w:rPr>
        <w:t xml:space="preserve">l expense of running the new department over the 12 year period. The total expenses are categorized into four groups: </w:t>
      </w:r>
      <w:r>
        <w:rPr>
          <w:rFonts w:ascii="Verdana" w:hAnsi="Verdana"/>
          <w:sz w:val="20"/>
          <w:szCs w:val="20"/>
        </w:rPr>
        <w:t>space expense, administrative cost, lab operations expense and faculty. The individual components of the expense calculations were done in</w:t>
      </w:r>
      <w:r>
        <w:rPr>
          <w:rFonts w:ascii="Verdana" w:hAnsi="Verdana"/>
          <w:sz w:val="20"/>
          <w:szCs w:val="20"/>
        </w:rPr>
        <w:t xml:space="preserve"> the </w:t>
      </w:r>
      <w:r w:rsidRPr="00FC3EDD">
        <w:rPr>
          <w:rFonts w:ascii="Verdana" w:hAnsi="Verdana"/>
          <w:sz w:val="20"/>
          <w:szCs w:val="20"/>
        </w:rPr>
        <w:t>“Space,” “Admin,” “</w:t>
      </w:r>
      <w:r>
        <w:rPr>
          <w:rFonts w:ascii="Verdana" w:hAnsi="Verdana"/>
          <w:sz w:val="20"/>
          <w:szCs w:val="20"/>
        </w:rPr>
        <w:t>L</w:t>
      </w:r>
      <w:r w:rsidRPr="00FC3EDD">
        <w:rPr>
          <w:rFonts w:ascii="Verdana" w:hAnsi="Verdana"/>
          <w:sz w:val="20"/>
          <w:szCs w:val="20"/>
        </w:rPr>
        <w:t>abOps”</w:t>
      </w:r>
      <w:r>
        <w:rPr>
          <w:rFonts w:ascii="Verdana" w:hAnsi="Verdana"/>
          <w:sz w:val="20"/>
          <w:szCs w:val="20"/>
        </w:rPr>
        <w:t xml:space="preserve"> and </w:t>
      </w:r>
      <w:r w:rsidRPr="00FC3EDD">
        <w:rPr>
          <w:rFonts w:ascii="Verdana" w:hAnsi="Verdana"/>
          <w:sz w:val="20"/>
          <w:szCs w:val="20"/>
        </w:rPr>
        <w:t>“</w:t>
      </w:r>
      <w:r>
        <w:rPr>
          <w:rFonts w:ascii="Verdana" w:hAnsi="Verdana"/>
          <w:sz w:val="20"/>
          <w:szCs w:val="20"/>
        </w:rPr>
        <w:t>F</w:t>
      </w:r>
      <w:r w:rsidRPr="00FC3EDD">
        <w:rPr>
          <w:rFonts w:ascii="Verdana" w:hAnsi="Verdana"/>
          <w:sz w:val="20"/>
          <w:szCs w:val="20"/>
        </w:rPr>
        <w:t>acSal” worksheet</w:t>
      </w:r>
      <w:r>
        <w:rPr>
          <w:rFonts w:ascii="Verdana" w:hAnsi="Verdana"/>
          <w:sz w:val="20"/>
          <w:szCs w:val="20"/>
        </w:rPr>
        <w:t>s. This output stream is named “TotalExpense”</w:t>
      </w:r>
    </w:p>
    <w:p w:rsidR="00902956" w:rsidRPr="00FC3EDD" w:rsidRDefault="002D41B7" w:rsidP="00902956">
      <w:pPr>
        <w:pStyle w:val="NoSpacing"/>
        <w:numPr>
          <w:ilvl w:val="0"/>
          <w:numId w:val="18"/>
        </w:numPr>
        <w:rPr>
          <w:rFonts w:ascii="Verdana" w:hAnsi="Verdana"/>
          <w:sz w:val="20"/>
          <w:szCs w:val="20"/>
        </w:rPr>
      </w:pPr>
      <w:r>
        <w:rPr>
          <w:rFonts w:ascii="Verdana" w:hAnsi="Verdana"/>
          <w:bCs/>
          <w:sz w:val="20"/>
          <w:szCs w:val="20"/>
        </w:rPr>
        <w:t>Annual</w:t>
      </w:r>
      <w:r w:rsidRPr="009274AB">
        <w:rPr>
          <w:rFonts w:ascii="Verdana" w:hAnsi="Verdana"/>
          <w:bCs/>
          <w:sz w:val="20"/>
          <w:szCs w:val="20"/>
        </w:rPr>
        <w:t xml:space="preserve"> Required Investment</w:t>
      </w:r>
      <w:r>
        <w:rPr>
          <w:rFonts w:ascii="Verdana" w:hAnsi="Verdana"/>
          <w:bCs/>
          <w:sz w:val="20"/>
          <w:szCs w:val="20"/>
        </w:rPr>
        <w:t xml:space="preserve"> – Annual investment the University will have to invest for the next 12 years to run the new department; the </w:t>
      </w:r>
      <w:r>
        <w:rPr>
          <w:rFonts w:ascii="Verdana" w:hAnsi="Verdana"/>
          <w:sz w:val="20"/>
          <w:szCs w:val="20"/>
        </w:rPr>
        <w:t>required i</w:t>
      </w:r>
      <w:r w:rsidRPr="00FC3EDD">
        <w:rPr>
          <w:rFonts w:ascii="Verdana" w:hAnsi="Verdana"/>
          <w:sz w:val="20"/>
          <w:szCs w:val="20"/>
        </w:rPr>
        <w:t>nvestment i</w:t>
      </w:r>
      <w:r w:rsidRPr="00FC3EDD">
        <w:rPr>
          <w:rFonts w:ascii="Verdana" w:hAnsi="Verdana"/>
          <w:sz w:val="20"/>
          <w:szCs w:val="20"/>
        </w:rPr>
        <w:t xml:space="preserve">s </w:t>
      </w:r>
      <w:r>
        <w:rPr>
          <w:rFonts w:ascii="Verdana" w:hAnsi="Verdana"/>
          <w:sz w:val="20"/>
          <w:szCs w:val="20"/>
        </w:rPr>
        <w:t xml:space="preserve">calculated as the </w:t>
      </w:r>
      <w:r w:rsidRPr="00FC3EDD">
        <w:rPr>
          <w:rFonts w:ascii="Verdana" w:hAnsi="Verdana"/>
          <w:sz w:val="20"/>
          <w:szCs w:val="20"/>
        </w:rPr>
        <w:t xml:space="preserve">difference between </w:t>
      </w:r>
      <w:r>
        <w:rPr>
          <w:rFonts w:ascii="Verdana" w:hAnsi="Verdana"/>
          <w:sz w:val="20"/>
          <w:szCs w:val="20"/>
        </w:rPr>
        <w:t>“</w:t>
      </w:r>
      <w:r w:rsidRPr="00FC3EDD">
        <w:rPr>
          <w:rFonts w:ascii="Verdana" w:hAnsi="Verdana"/>
          <w:sz w:val="20"/>
          <w:szCs w:val="20"/>
        </w:rPr>
        <w:t>Total Expense</w:t>
      </w:r>
      <w:r>
        <w:rPr>
          <w:rFonts w:ascii="Verdana" w:hAnsi="Verdana"/>
          <w:sz w:val="20"/>
          <w:szCs w:val="20"/>
        </w:rPr>
        <w:t>”</w:t>
      </w:r>
      <w:r w:rsidRPr="00FC3EDD">
        <w:rPr>
          <w:rFonts w:ascii="Verdana" w:hAnsi="Verdana"/>
          <w:sz w:val="20"/>
          <w:szCs w:val="20"/>
        </w:rPr>
        <w:t xml:space="preserve"> and </w:t>
      </w:r>
      <w:r>
        <w:rPr>
          <w:rFonts w:ascii="Verdana" w:hAnsi="Verdana"/>
          <w:sz w:val="20"/>
          <w:szCs w:val="20"/>
        </w:rPr>
        <w:t>“</w:t>
      </w:r>
      <w:r w:rsidRPr="00FC3EDD">
        <w:rPr>
          <w:rFonts w:ascii="Verdana" w:hAnsi="Verdana"/>
          <w:sz w:val="20"/>
          <w:szCs w:val="20"/>
        </w:rPr>
        <w:t>Total Revenue</w:t>
      </w:r>
      <w:r>
        <w:rPr>
          <w:rFonts w:ascii="Verdana" w:hAnsi="Verdana"/>
          <w:sz w:val="20"/>
          <w:szCs w:val="20"/>
        </w:rPr>
        <w:t xml:space="preserve">.” </w:t>
      </w:r>
      <w:r w:rsidRPr="00FC3EDD">
        <w:rPr>
          <w:rFonts w:ascii="Verdana" w:hAnsi="Verdana"/>
          <w:sz w:val="20"/>
          <w:szCs w:val="20"/>
        </w:rPr>
        <w:t>This output stream is named “Required</w:t>
      </w:r>
      <w:r>
        <w:rPr>
          <w:rFonts w:ascii="Verdana" w:hAnsi="Verdana"/>
          <w:sz w:val="20"/>
          <w:szCs w:val="20"/>
        </w:rPr>
        <w:t>Investment</w:t>
      </w:r>
      <w:r w:rsidRPr="00FC3EDD">
        <w:rPr>
          <w:rFonts w:ascii="Verdana" w:hAnsi="Verdana"/>
          <w:sz w:val="20"/>
          <w:szCs w:val="20"/>
        </w:rPr>
        <w:t>”</w:t>
      </w:r>
    </w:p>
    <w:p w:rsidR="00902956" w:rsidRPr="00FC3EDD" w:rsidRDefault="002D41B7" w:rsidP="00902956">
      <w:pPr>
        <w:pStyle w:val="NoSpacing"/>
        <w:numPr>
          <w:ilvl w:val="0"/>
          <w:numId w:val="18"/>
        </w:numPr>
        <w:rPr>
          <w:rFonts w:ascii="Verdana" w:hAnsi="Verdana"/>
          <w:sz w:val="20"/>
          <w:szCs w:val="20"/>
        </w:rPr>
      </w:pPr>
      <w:r w:rsidRPr="00C72D10">
        <w:rPr>
          <w:rFonts w:ascii="Verdana" w:hAnsi="Verdana"/>
          <w:bCs/>
          <w:sz w:val="20"/>
          <w:szCs w:val="20"/>
        </w:rPr>
        <w:t>Cumulative Revenue</w:t>
      </w:r>
      <w:r>
        <w:rPr>
          <w:rFonts w:ascii="Verdana" w:hAnsi="Verdana"/>
          <w:bCs/>
          <w:sz w:val="20"/>
          <w:szCs w:val="20"/>
        </w:rPr>
        <w:t xml:space="preserve"> – Cumulative revenue from endowment distribution and sponsored grant over the next 12 years. This output stream </w:t>
      </w:r>
      <w:r>
        <w:rPr>
          <w:rFonts w:ascii="Verdana" w:hAnsi="Verdana"/>
          <w:bCs/>
          <w:sz w:val="20"/>
          <w:szCs w:val="20"/>
        </w:rPr>
        <w:t>is named “CumTotalRevenue”</w:t>
      </w:r>
    </w:p>
    <w:p w:rsidR="00902956" w:rsidRPr="00FC3EDD" w:rsidRDefault="002D41B7" w:rsidP="00902956">
      <w:pPr>
        <w:pStyle w:val="NoSpacing"/>
        <w:numPr>
          <w:ilvl w:val="0"/>
          <w:numId w:val="18"/>
        </w:numPr>
        <w:rPr>
          <w:rFonts w:ascii="Verdana" w:hAnsi="Verdana"/>
          <w:sz w:val="20"/>
          <w:szCs w:val="20"/>
        </w:rPr>
      </w:pPr>
      <w:r>
        <w:rPr>
          <w:rFonts w:ascii="Verdana" w:hAnsi="Verdana"/>
          <w:bCs/>
          <w:sz w:val="20"/>
          <w:szCs w:val="20"/>
        </w:rPr>
        <w:t>Cum</w:t>
      </w:r>
      <w:r w:rsidRPr="00B8399A">
        <w:rPr>
          <w:rFonts w:ascii="Verdana" w:hAnsi="Verdana"/>
          <w:bCs/>
          <w:sz w:val="20"/>
          <w:szCs w:val="20"/>
        </w:rPr>
        <w:t>ulative Expense</w:t>
      </w:r>
      <w:r>
        <w:rPr>
          <w:rFonts w:ascii="Verdana" w:hAnsi="Verdana"/>
          <w:bCs/>
          <w:sz w:val="20"/>
          <w:szCs w:val="20"/>
        </w:rPr>
        <w:t xml:space="preserve"> – Cumulative space, administrative, lab operations and faculty expenses over the next 12 years. This output stream in named “CumTotalExpense” </w:t>
      </w:r>
    </w:p>
    <w:p w:rsidR="00902956" w:rsidRPr="00FC3EDD" w:rsidRDefault="002D41B7" w:rsidP="00902956">
      <w:pPr>
        <w:pStyle w:val="NoSpacing"/>
        <w:numPr>
          <w:ilvl w:val="0"/>
          <w:numId w:val="18"/>
        </w:numPr>
        <w:rPr>
          <w:rFonts w:ascii="Verdana" w:hAnsi="Verdana"/>
          <w:sz w:val="20"/>
          <w:szCs w:val="20"/>
        </w:rPr>
      </w:pPr>
      <w:r w:rsidRPr="00B8399A">
        <w:rPr>
          <w:rFonts w:ascii="Verdana" w:hAnsi="Verdana"/>
          <w:bCs/>
          <w:sz w:val="20"/>
          <w:szCs w:val="20"/>
        </w:rPr>
        <w:t>Cumulative Total Required Investment</w:t>
      </w:r>
      <w:r>
        <w:rPr>
          <w:rFonts w:ascii="Verdana" w:hAnsi="Verdana"/>
          <w:bCs/>
          <w:sz w:val="20"/>
          <w:szCs w:val="20"/>
        </w:rPr>
        <w:t xml:space="preserve"> – Cumulative required investme</w:t>
      </w:r>
      <w:r>
        <w:rPr>
          <w:rFonts w:ascii="Verdana" w:hAnsi="Verdana"/>
          <w:bCs/>
          <w:sz w:val="20"/>
          <w:szCs w:val="20"/>
        </w:rPr>
        <w:t>nt over the next 12 years; required investment defined as expenses in excess of the revenue stream. This is the most important output for the University as it gives an idea of how much the investment in the new department will cost in total within the spec</w:t>
      </w:r>
      <w:r>
        <w:rPr>
          <w:rFonts w:ascii="Verdana" w:hAnsi="Verdana"/>
          <w:bCs/>
          <w:sz w:val="20"/>
          <w:szCs w:val="20"/>
        </w:rPr>
        <w:t>ified time horizon. This output stream is named “ReqCum</w:t>
      </w:r>
      <w:r w:rsidRPr="000D1CC2">
        <w:rPr>
          <w:rFonts w:ascii="Verdana" w:hAnsi="Verdana"/>
          <w:bCs/>
          <w:sz w:val="20"/>
          <w:szCs w:val="20"/>
        </w:rPr>
        <w:t>Invest</w:t>
      </w:r>
      <w:r>
        <w:rPr>
          <w:rFonts w:ascii="Verdana" w:hAnsi="Verdana"/>
          <w:bCs/>
          <w:sz w:val="20"/>
          <w:szCs w:val="20"/>
        </w:rPr>
        <w:t>”</w:t>
      </w:r>
    </w:p>
    <w:p w:rsidR="00902956" w:rsidRPr="00FC3EDD" w:rsidRDefault="002D41B7" w:rsidP="00902956">
      <w:pPr>
        <w:pStyle w:val="NoSpacing"/>
        <w:outlineLvl w:val="0"/>
        <w:rPr>
          <w:rFonts w:ascii="Verdana" w:hAnsi="Verdana"/>
          <w:b/>
          <w:sz w:val="20"/>
          <w:szCs w:val="20"/>
        </w:rPr>
      </w:pPr>
      <w:r>
        <w:rPr>
          <w:rFonts w:ascii="Verdana" w:hAnsi="Verdana"/>
          <w:b/>
          <w:sz w:val="20"/>
          <w:szCs w:val="20"/>
        </w:rPr>
        <w:t xml:space="preserve">3. </w:t>
      </w:r>
      <w:r w:rsidRPr="00FC3EDD">
        <w:rPr>
          <w:rFonts w:ascii="Verdana" w:hAnsi="Verdana"/>
          <w:b/>
          <w:sz w:val="20"/>
          <w:szCs w:val="20"/>
        </w:rPr>
        <w:t xml:space="preserve">Guide to </w:t>
      </w:r>
      <w:r>
        <w:rPr>
          <w:rFonts w:ascii="Verdana" w:hAnsi="Verdana"/>
          <w:b/>
          <w:sz w:val="20"/>
          <w:szCs w:val="20"/>
        </w:rPr>
        <w:t>visual c</w:t>
      </w:r>
      <w:r w:rsidRPr="00FC3EDD">
        <w:rPr>
          <w:rFonts w:ascii="Verdana" w:hAnsi="Verdana"/>
          <w:b/>
          <w:sz w:val="20"/>
          <w:szCs w:val="20"/>
        </w:rPr>
        <w:t>ues and naming conventions</w:t>
      </w:r>
    </w:p>
    <w:p w:rsidR="00902956" w:rsidRPr="004026BE" w:rsidRDefault="002D41B7" w:rsidP="00902956">
      <w:pPr>
        <w:pStyle w:val="NoSpacing"/>
        <w:rPr>
          <w:rFonts w:ascii="Verdana" w:hAnsi="Verdana"/>
          <w:bCs/>
          <w:sz w:val="20"/>
          <w:szCs w:val="20"/>
        </w:rPr>
      </w:pPr>
      <w:r w:rsidRPr="004026BE">
        <w:rPr>
          <w:rFonts w:ascii="Verdana" w:hAnsi="Verdana"/>
          <w:bCs/>
          <w:sz w:val="20"/>
          <w:szCs w:val="20"/>
        </w:rPr>
        <w:t xml:space="preserve">The following coloring </w:t>
      </w:r>
      <w:r>
        <w:rPr>
          <w:rFonts w:ascii="Verdana" w:hAnsi="Verdana"/>
          <w:bCs/>
          <w:sz w:val="20"/>
          <w:szCs w:val="20"/>
        </w:rPr>
        <w:t xml:space="preserve">and naming </w:t>
      </w:r>
      <w:r w:rsidRPr="004026BE">
        <w:rPr>
          <w:rFonts w:ascii="Verdana" w:hAnsi="Verdana"/>
          <w:bCs/>
          <w:sz w:val="20"/>
          <w:szCs w:val="20"/>
        </w:rPr>
        <w:t>conventions are used in the model</w:t>
      </w:r>
    </w:p>
    <w:p w:rsidR="00902956" w:rsidRPr="007C6DA5" w:rsidRDefault="002D41B7" w:rsidP="00902956">
      <w:pPr>
        <w:pStyle w:val="NoSpacing"/>
        <w:ind w:firstLine="720"/>
        <w:outlineLvl w:val="0"/>
        <w:rPr>
          <w:rFonts w:ascii="Verdana" w:hAnsi="Verdana"/>
          <w:sz w:val="20"/>
          <w:szCs w:val="20"/>
        </w:rPr>
      </w:pPr>
      <w:r w:rsidRPr="007C6DA5">
        <w:rPr>
          <w:rFonts w:ascii="Verdana" w:hAnsi="Verdana"/>
          <w:sz w:val="20"/>
          <w:szCs w:val="20"/>
        </w:rPr>
        <w:t>Colors</w:t>
      </w:r>
    </w:p>
    <w:tbl>
      <w:tblPr>
        <w:tblW w:w="8738"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7310"/>
      </w:tblGrid>
      <w:tr w:rsidR="00902956" w:rsidRPr="00FC3EDD">
        <w:trPr>
          <w:trHeight w:val="257"/>
        </w:trPr>
        <w:tc>
          <w:tcPr>
            <w:tcW w:w="1428" w:type="dxa"/>
          </w:tcPr>
          <w:p w:rsidR="00902956" w:rsidRPr="00FC3EDD" w:rsidRDefault="002D41B7" w:rsidP="00902956">
            <w:pPr>
              <w:pStyle w:val="NoSpacing"/>
              <w:rPr>
                <w:rFonts w:ascii="Verdana" w:hAnsi="Verdana"/>
                <w:sz w:val="20"/>
                <w:szCs w:val="20"/>
              </w:rPr>
            </w:pPr>
            <w:r>
              <w:rPr>
                <w:rFonts w:ascii="Verdana" w:hAnsi="Verdana"/>
                <w:sz w:val="20"/>
                <w:szCs w:val="20"/>
              </w:rPr>
              <w:t xml:space="preserve">Light </w:t>
            </w:r>
            <w:r w:rsidRPr="00FC3EDD">
              <w:rPr>
                <w:rFonts w:ascii="Verdana" w:hAnsi="Verdana"/>
                <w:sz w:val="20"/>
                <w:szCs w:val="20"/>
              </w:rPr>
              <w:t>Yellow</w:t>
            </w:r>
          </w:p>
        </w:tc>
        <w:tc>
          <w:tcPr>
            <w:tcW w:w="7310" w:type="dxa"/>
          </w:tcPr>
          <w:p w:rsidR="00902956" w:rsidRPr="00FC3EDD" w:rsidRDefault="002D41B7" w:rsidP="00902956">
            <w:pPr>
              <w:pStyle w:val="NoSpacing"/>
              <w:rPr>
                <w:rFonts w:ascii="Verdana" w:hAnsi="Verdana"/>
                <w:sz w:val="20"/>
                <w:szCs w:val="20"/>
              </w:rPr>
            </w:pPr>
            <w:r>
              <w:rPr>
                <w:rFonts w:ascii="Verdana" w:hAnsi="Verdana"/>
                <w:sz w:val="20"/>
                <w:szCs w:val="20"/>
              </w:rPr>
              <w:t>Used to visually denote</w:t>
            </w:r>
            <w:r w:rsidRPr="00FC3EDD">
              <w:rPr>
                <w:rFonts w:ascii="Verdana" w:hAnsi="Verdana"/>
                <w:sz w:val="20"/>
                <w:szCs w:val="20"/>
              </w:rPr>
              <w:t xml:space="preserve"> the input parameters</w:t>
            </w:r>
            <w:r>
              <w:rPr>
                <w:rFonts w:ascii="Verdana" w:hAnsi="Verdana"/>
                <w:sz w:val="20"/>
                <w:szCs w:val="20"/>
              </w:rPr>
              <w:t>; these inputs</w:t>
            </w:r>
            <w:r>
              <w:rPr>
                <w:rFonts w:ascii="Verdana" w:hAnsi="Verdana"/>
                <w:sz w:val="20"/>
                <w:szCs w:val="20"/>
              </w:rPr>
              <w:t xml:space="preserve"> can be changed to make adjustments to initial assumptions (i.e., inflation rate, number of recruits, etc.)</w:t>
            </w:r>
          </w:p>
        </w:tc>
      </w:tr>
      <w:tr w:rsidR="00902956" w:rsidRPr="00FC3EDD">
        <w:trPr>
          <w:trHeight w:val="257"/>
        </w:trPr>
        <w:tc>
          <w:tcPr>
            <w:tcW w:w="1428" w:type="dxa"/>
          </w:tcPr>
          <w:p w:rsidR="00902956" w:rsidRPr="00FC3EDD" w:rsidRDefault="002D41B7" w:rsidP="00902956">
            <w:pPr>
              <w:pStyle w:val="NoSpacing"/>
              <w:rPr>
                <w:rFonts w:ascii="Verdana" w:hAnsi="Verdana"/>
                <w:sz w:val="20"/>
                <w:szCs w:val="20"/>
              </w:rPr>
            </w:pPr>
            <w:r w:rsidRPr="00FC3EDD">
              <w:rPr>
                <w:rFonts w:ascii="Verdana" w:hAnsi="Verdana"/>
                <w:sz w:val="20"/>
                <w:szCs w:val="20"/>
              </w:rPr>
              <w:t>Grey</w:t>
            </w:r>
          </w:p>
        </w:tc>
        <w:tc>
          <w:tcPr>
            <w:tcW w:w="7310" w:type="dxa"/>
          </w:tcPr>
          <w:p w:rsidR="00902956" w:rsidRPr="00FC3EDD" w:rsidRDefault="002D41B7" w:rsidP="00902956">
            <w:pPr>
              <w:pStyle w:val="NoSpacing"/>
              <w:rPr>
                <w:rFonts w:ascii="Verdana" w:hAnsi="Verdana"/>
                <w:sz w:val="20"/>
                <w:szCs w:val="20"/>
              </w:rPr>
            </w:pPr>
            <w:r w:rsidRPr="00FC3EDD">
              <w:rPr>
                <w:rFonts w:ascii="Verdana" w:hAnsi="Verdana"/>
                <w:sz w:val="20"/>
                <w:szCs w:val="20"/>
              </w:rPr>
              <w:t>Used for titles</w:t>
            </w:r>
          </w:p>
        </w:tc>
      </w:tr>
      <w:tr w:rsidR="00902956" w:rsidRPr="00FC3EDD">
        <w:trPr>
          <w:trHeight w:val="257"/>
        </w:trPr>
        <w:tc>
          <w:tcPr>
            <w:tcW w:w="1428" w:type="dxa"/>
          </w:tcPr>
          <w:p w:rsidR="00902956" w:rsidRPr="00FC3EDD" w:rsidRDefault="002D41B7" w:rsidP="00902956">
            <w:pPr>
              <w:pStyle w:val="NoSpacing"/>
              <w:rPr>
                <w:rFonts w:ascii="Verdana" w:hAnsi="Verdana"/>
                <w:sz w:val="20"/>
                <w:szCs w:val="20"/>
              </w:rPr>
            </w:pPr>
            <w:r>
              <w:rPr>
                <w:rFonts w:ascii="Verdana" w:hAnsi="Verdana"/>
                <w:sz w:val="20"/>
                <w:szCs w:val="20"/>
              </w:rPr>
              <w:t xml:space="preserve">Light </w:t>
            </w:r>
            <w:r w:rsidRPr="00FC3EDD">
              <w:rPr>
                <w:rFonts w:ascii="Verdana" w:hAnsi="Verdana"/>
                <w:sz w:val="20"/>
                <w:szCs w:val="20"/>
              </w:rPr>
              <w:t>Orange</w:t>
            </w:r>
          </w:p>
        </w:tc>
        <w:tc>
          <w:tcPr>
            <w:tcW w:w="7310" w:type="dxa"/>
          </w:tcPr>
          <w:p w:rsidR="00902956" w:rsidRPr="00FC3EDD" w:rsidRDefault="002D41B7" w:rsidP="00902956">
            <w:pPr>
              <w:pStyle w:val="NoSpacing"/>
              <w:rPr>
                <w:rFonts w:ascii="Verdana" w:hAnsi="Verdana"/>
                <w:sz w:val="20"/>
                <w:szCs w:val="20"/>
              </w:rPr>
            </w:pPr>
            <w:r>
              <w:rPr>
                <w:rFonts w:ascii="Verdana" w:hAnsi="Verdana"/>
                <w:sz w:val="20"/>
                <w:szCs w:val="20"/>
              </w:rPr>
              <w:t xml:space="preserve">Used to visually denote the input parameters that can be changed to run a number of </w:t>
            </w:r>
            <w:r w:rsidRPr="00FC3EDD">
              <w:rPr>
                <w:rFonts w:ascii="Verdana" w:hAnsi="Verdana"/>
                <w:sz w:val="20"/>
                <w:szCs w:val="20"/>
              </w:rPr>
              <w:t>scenarios</w:t>
            </w:r>
          </w:p>
        </w:tc>
      </w:tr>
      <w:tr w:rsidR="00902956" w:rsidRPr="00FC3EDD">
        <w:trPr>
          <w:trHeight w:val="257"/>
        </w:trPr>
        <w:tc>
          <w:tcPr>
            <w:tcW w:w="1428" w:type="dxa"/>
          </w:tcPr>
          <w:p w:rsidR="00902956" w:rsidRPr="00FC3EDD" w:rsidRDefault="002D41B7" w:rsidP="00902956">
            <w:pPr>
              <w:pStyle w:val="NoSpacing"/>
              <w:rPr>
                <w:rFonts w:ascii="Verdana" w:hAnsi="Verdana"/>
                <w:sz w:val="20"/>
                <w:szCs w:val="20"/>
              </w:rPr>
            </w:pPr>
            <w:r>
              <w:rPr>
                <w:rFonts w:ascii="Verdana" w:hAnsi="Verdana"/>
                <w:sz w:val="20"/>
                <w:szCs w:val="20"/>
              </w:rPr>
              <w:t>Lime</w:t>
            </w:r>
          </w:p>
        </w:tc>
        <w:tc>
          <w:tcPr>
            <w:tcW w:w="7310" w:type="dxa"/>
          </w:tcPr>
          <w:p w:rsidR="00902956" w:rsidRPr="00FC3EDD" w:rsidRDefault="002D41B7" w:rsidP="00902956">
            <w:pPr>
              <w:pStyle w:val="NoSpacing"/>
              <w:rPr>
                <w:rFonts w:ascii="Verdana" w:hAnsi="Verdana"/>
                <w:sz w:val="20"/>
                <w:szCs w:val="20"/>
              </w:rPr>
            </w:pPr>
            <w:r>
              <w:rPr>
                <w:rFonts w:ascii="Verdana" w:hAnsi="Verdana"/>
                <w:sz w:val="20"/>
                <w:szCs w:val="20"/>
              </w:rPr>
              <w:t>Used to visu</w:t>
            </w:r>
            <w:r>
              <w:rPr>
                <w:rFonts w:ascii="Verdana" w:hAnsi="Verdana"/>
                <w:sz w:val="20"/>
                <w:szCs w:val="20"/>
              </w:rPr>
              <w:t>ally denote the c</w:t>
            </w:r>
            <w:r w:rsidRPr="00FC3EDD">
              <w:rPr>
                <w:rFonts w:ascii="Verdana" w:hAnsi="Verdana"/>
                <w:sz w:val="20"/>
                <w:szCs w:val="20"/>
              </w:rPr>
              <w:t xml:space="preserve">alculated </w:t>
            </w:r>
            <w:r>
              <w:rPr>
                <w:rFonts w:ascii="Verdana" w:hAnsi="Verdana"/>
                <w:sz w:val="20"/>
                <w:szCs w:val="20"/>
              </w:rPr>
              <w:t>f</w:t>
            </w:r>
            <w:r w:rsidRPr="00FC3EDD">
              <w:rPr>
                <w:rFonts w:ascii="Verdana" w:hAnsi="Verdana"/>
                <w:sz w:val="20"/>
                <w:szCs w:val="20"/>
              </w:rPr>
              <w:t>ields</w:t>
            </w:r>
          </w:p>
        </w:tc>
      </w:tr>
      <w:tr w:rsidR="00902956" w:rsidRPr="00FC3EDD">
        <w:trPr>
          <w:trHeight w:val="257"/>
        </w:trPr>
        <w:tc>
          <w:tcPr>
            <w:tcW w:w="1428" w:type="dxa"/>
          </w:tcPr>
          <w:p w:rsidR="00902956" w:rsidRPr="00FC3EDD" w:rsidRDefault="002D41B7" w:rsidP="00902956">
            <w:pPr>
              <w:pStyle w:val="NoSpacing"/>
              <w:rPr>
                <w:rFonts w:ascii="Verdana" w:hAnsi="Verdana"/>
                <w:sz w:val="20"/>
                <w:szCs w:val="20"/>
              </w:rPr>
            </w:pPr>
            <w:r>
              <w:rPr>
                <w:rFonts w:ascii="Verdana" w:hAnsi="Verdana"/>
                <w:sz w:val="20"/>
                <w:szCs w:val="20"/>
              </w:rPr>
              <w:t xml:space="preserve">Pale </w:t>
            </w:r>
            <w:r w:rsidRPr="00FC3EDD">
              <w:rPr>
                <w:rFonts w:ascii="Verdana" w:hAnsi="Verdana"/>
                <w:sz w:val="20"/>
                <w:szCs w:val="20"/>
              </w:rPr>
              <w:t>Blue</w:t>
            </w:r>
          </w:p>
        </w:tc>
        <w:tc>
          <w:tcPr>
            <w:tcW w:w="7310" w:type="dxa"/>
          </w:tcPr>
          <w:p w:rsidR="00902956" w:rsidRPr="00FC3EDD" w:rsidRDefault="002D41B7" w:rsidP="00902956">
            <w:pPr>
              <w:pStyle w:val="NoSpacing"/>
              <w:rPr>
                <w:rFonts w:ascii="Verdana" w:hAnsi="Verdana"/>
                <w:sz w:val="20"/>
                <w:szCs w:val="20"/>
              </w:rPr>
            </w:pPr>
            <w:r>
              <w:rPr>
                <w:rFonts w:ascii="Verdana" w:hAnsi="Verdana"/>
                <w:sz w:val="20"/>
                <w:szCs w:val="20"/>
              </w:rPr>
              <w:t>Used to visually denote the o</w:t>
            </w:r>
            <w:r w:rsidRPr="00FC3EDD">
              <w:rPr>
                <w:rFonts w:ascii="Verdana" w:hAnsi="Verdana"/>
                <w:sz w:val="20"/>
                <w:szCs w:val="20"/>
              </w:rPr>
              <w:t xml:space="preserve">utput </w:t>
            </w:r>
            <w:r>
              <w:rPr>
                <w:rFonts w:ascii="Verdana" w:hAnsi="Verdana"/>
                <w:sz w:val="20"/>
                <w:szCs w:val="20"/>
              </w:rPr>
              <w:t>s</w:t>
            </w:r>
            <w:r w:rsidRPr="00FC3EDD">
              <w:rPr>
                <w:rFonts w:ascii="Verdana" w:hAnsi="Verdana"/>
                <w:sz w:val="20"/>
                <w:szCs w:val="20"/>
              </w:rPr>
              <w:t>tream</w:t>
            </w:r>
            <w:r>
              <w:rPr>
                <w:rFonts w:ascii="Verdana" w:hAnsi="Verdana"/>
                <w:sz w:val="20"/>
                <w:szCs w:val="20"/>
              </w:rPr>
              <w:t>s</w:t>
            </w:r>
            <w:r w:rsidRPr="00FC3EDD">
              <w:rPr>
                <w:rFonts w:ascii="Verdana" w:hAnsi="Verdana"/>
                <w:sz w:val="20"/>
                <w:szCs w:val="20"/>
              </w:rPr>
              <w:t xml:space="preserve"> on the summary page</w:t>
            </w:r>
          </w:p>
        </w:tc>
      </w:tr>
      <w:tr w:rsidR="00902956" w:rsidRPr="00FC3EDD">
        <w:trPr>
          <w:trHeight w:val="257"/>
        </w:trPr>
        <w:tc>
          <w:tcPr>
            <w:tcW w:w="1428" w:type="dxa"/>
          </w:tcPr>
          <w:p w:rsidR="00902956" w:rsidRPr="00FC3EDD" w:rsidRDefault="002D41B7" w:rsidP="00902956">
            <w:pPr>
              <w:pStyle w:val="NoSpacing"/>
              <w:rPr>
                <w:rFonts w:ascii="Verdana" w:hAnsi="Verdana"/>
                <w:sz w:val="20"/>
                <w:szCs w:val="20"/>
              </w:rPr>
            </w:pPr>
            <w:r>
              <w:rPr>
                <w:rFonts w:ascii="Verdana" w:hAnsi="Verdana"/>
                <w:sz w:val="20"/>
                <w:szCs w:val="20"/>
              </w:rPr>
              <w:t>Double Line Cell Border</w:t>
            </w:r>
          </w:p>
        </w:tc>
        <w:tc>
          <w:tcPr>
            <w:tcW w:w="7310" w:type="dxa"/>
          </w:tcPr>
          <w:p w:rsidR="00902956" w:rsidRDefault="002D41B7" w:rsidP="00902956">
            <w:pPr>
              <w:pStyle w:val="NoSpacing"/>
              <w:rPr>
                <w:rFonts w:ascii="Verdana" w:hAnsi="Verdana"/>
                <w:sz w:val="20"/>
                <w:szCs w:val="20"/>
              </w:rPr>
            </w:pPr>
            <w:r>
              <w:rPr>
                <w:rFonts w:ascii="Verdana" w:hAnsi="Verdana"/>
                <w:sz w:val="20"/>
                <w:szCs w:val="20"/>
              </w:rPr>
              <w:t>Used to indicate the cell containing the initial value for a formula used by the rest of the row</w:t>
            </w:r>
          </w:p>
        </w:tc>
      </w:tr>
    </w:tbl>
    <w:p w:rsidR="00902956" w:rsidRPr="007C6DA5" w:rsidRDefault="002D41B7" w:rsidP="00902956">
      <w:pPr>
        <w:pStyle w:val="NoSpacing"/>
        <w:outlineLvl w:val="0"/>
        <w:rPr>
          <w:rFonts w:ascii="Verdana" w:hAnsi="Verdana"/>
          <w:sz w:val="20"/>
          <w:szCs w:val="20"/>
        </w:rPr>
      </w:pPr>
      <w:r w:rsidRPr="007C6DA5">
        <w:rPr>
          <w:rFonts w:ascii="Verdana" w:hAnsi="Verdana"/>
          <w:sz w:val="20"/>
          <w:szCs w:val="20"/>
        </w:rPr>
        <w:t xml:space="preserve">         Naming Conventio</w:t>
      </w:r>
      <w:r w:rsidRPr="007C6DA5">
        <w:rPr>
          <w:rFonts w:ascii="Verdana" w:hAnsi="Verdana"/>
          <w:sz w:val="20"/>
          <w:szCs w:val="20"/>
        </w:rPr>
        <w:t>ns</w:t>
      </w:r>
      <w:r w:rsidRPr="007C6DA5">
        <w:rPr>
          <w:rFonts w:ascii="Verdana" w:hAnsi="Verdana"/>
          <w:sz w:val="20"/>
          <w:szCs w:val="20"/>
        </w:rPr>
        <w:tab/>
      </w:r>
    </w:p>
    <w:tbl>
      <w:tblPr>
        <w:tblW w:w="87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2"/>
        <w:gridCol w:w="3268"/>
        <w:gridCol w:w="251"/>
        <w:gridCol w:w="1173"/>
        <w:gridCol w:w="2956"/>
      </w:tblGrid>
      <w:tr w:rsidR="00902956" w:rsidRPr="00FC3EDD">
        <w:trPr>
          <w:trHeight w:val="257"/>
        </w:trPr>
        <w:tc>
          <w:tcPr>
            <w:tcW w:w="1082"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Admin</w:t>
            </w:r>
          </w:p>
        </w:tc>
        <w:tc>
          <w:tcPr>
            <w:tcW w:w="3268"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Administrative</w:t>
            </w:r>
          </w:p>
        </w:tc>
        <w:tc>
          <w:tcPr>
            <w:tcW w:w="251" w:type="dxa"/>
            <w:tcBorders>
              <w:top w:val="single" w:sz="4" w:space="0" w:color="FFFFFF"/>
              <w:left w:val="single" w:sz="4" w:space="0" w:color="000000"/>
              <w:bottom w:val="single" w:sz="4" w:space="0" w:color="FFFFFF"/>
              <w:right w:val="single" w:sz="4" w:space="0" w:color="000000"/>
            </w:tcBorders>
          </w:tcPr>
          <w:p w:rsidR="00902956" w:rsidRPr="00FC3EDD" w:rsidRDefault="002D41B7" w:rsidP="00902956">
            <w:pPr>
              <w:pStyle w:val="NoSpacing"/>
              <w:rPr>
                <w:rFonts w:ascii="Verdana" w:hAnsi="Verdana"/>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Jr</w:t>
            </w:r>
          </w:p>
        </w:tc>
        <w:tc>
          <w:tcPr>
            <w:tcW w:w="2956"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Junior</w:t>
            </w:r>
          </w:p>
        </w:tc>
      </w:tr>
      <w:tr w:rsidR="00902956" w:rsidRPr="00FC3EDD">
        <w:trPr>
          <w:trHeight w:val="257"/>
        </w:trPr>
        <w:tc>
          <w:tcPr>
            <w:tcW w:w="1082"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Ann</w:t>
            </w:r>
          </w:p>
        </w:tc>
        <w:tc>
          <w:tcPr>
            <w:tcW w:w="3268"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Annual</w:t>
            </w:r>
          </w:p>
        </w:tc>
        <w:tc>
          <w:tcPr>
            <w:tcW w:w="251" w:type="dxa"/>
            <w:tcBorders>
              <w:top w:val="single" w:sz="4" w:space="0" w:color="FFFFFF"/>
              <w:left w:val="single" w:sz="4" w:space="0" w:color="000000"/>
              <w:bottom w:val="single" w:sz="4" w:space="0" w:color="FFFFFF"/>
              <w:right w:val="single" w:sz="4" w:space="0" w:color="000000"/>
            </w:tcBorders>
          </w:tcPr>
          <w:p w:rsidR="00902956" w:rsidRPr="00FC3EDD" w:rsidRDefault="002D41B7" w:rsidP="00902956">
            <w:pPr>
              <w:pStyle w:val="NoSpacing"/>
              <w:rPr>
                <w:rFonts w:ascii="Verdana" w:hAnsi="Verdana"/>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Maint</w:t>
            </w:r>
          </w:p>
        </w:tc>
        <w:tc>
          <w:tcPr>
            <w:tcW w:w="2956"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Maintenance</w:t>
            </w:r>
          </w:p>
        </w:tc>
      </w:tr>
      <w:tr w:rsidR="00902956" w:rsidRPr="00FC3EDD">
        <w:trPr>
          <w:trHeight w:val="257"/>
        </w:trPr>
        <w:tc>
          <w:tcPr>
            <w:tcW w:w="1082"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Cum</w:t>
            </w:r>
          </w:p>
        </w:tc>
        <w:tc>
          <w:tcPr>
            <w:tcW w:w="3268"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Cumulative</w:t>
            </w:r>
          </w:p>
        </w:tc>
        <w:tc>
          <w:tcPr>
            <w:tcW w:w="251" w:type="dxa"/>
            <w:tcBorders>
              <w:top w:val="single" w:sz="4" w:space="0" w:color="FFFFFF"/>
              <w:left w:val="single" w:sz="4" w:space="0" w:color="000000"/>
              <w:bottom w:val="single" w:sz="4" w:space="0" w:color="FFFFFF"/>
              <w:right w:val="single" w:sz="4" w:space="0" w:color="000000"/>
            </w:tcBorders>
          </w:tcPr>
          <w:p w:rsidR="00902956" w:rsidRPr="00FC3EDD" w:rsidRDefault="002D41B7" w:rsidP="00902956">
            <w:pPr>
              <w:pStyle w:val="NoSpacing"/>
              <w:rPr>
                <w:rFonts w:ascii="Verdana" w:hAnsi="Verdana"/>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PY</w:t>
            </w:r>
          </w:p>
        </w:tc>
        <w:tc>
          <w:tcPr>
            <w:tcW w:w="2956"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Per Year</w:t>
            </w:r>
          </w:p>
        </w:tc>
      </w:tr>
      <w:tr w:rsidR="00902956" w:rsidRPr="00FC3EDD">
        <w:trPr>
          <w:trHeight w:val="257"/>
        </w:trPr>
        <w:tc>
          <w:tcPr>
            <w:tcW w:w="1082"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Dept</w:t>
            </w:r>
          </w:p>
        </w:tc>
        <w:tc>
          <w:tcPr>
            <w:tcW w:w="3268"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Department</w:t>
            </w:r>
          </w:p>
        </w:tc>
        <w:tc>
          <w:tcPr>
            <w:tcW w:w="251" w:type="dxa"/>
            <w:tcBorders>
              <w:top w:val="single" w:sz="4" w:space="0" w:color="FFFFFF"/>
              <w:left w:val="single" w:sz="4" w:space="0" w:color="000000"/>
              <w:bottom w:val="single" w:sz="4" w:space="0" w:color="FFFFFF"/>
              <w:right w:val="single" w:sz="4" w:space="0" w:color="000000"/>
            </w:tcBorders>
          </w:tcPr>
          <w:p w:rsidR="00902956" w:rsidRPr="00FC3EDD" w:rsidRDefault="002D41B7" w:rsidP="00902956">
            <w:pPr>
              <w:pStyle w:val="NoSpacing"/>
              <w:rPr>
                <w:rFonts w:ascii="Verdana" w:hAnsi="Verdana"/>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Renov</w:t>
            </w:r>
          </w:p>
        </w:tc>
        <w:tc>
          <w:tcPr>
            <w:tcW w:w="2956"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Renovation</w:t>
            </w:r>
          </w:p>
        </w:tc>
      </w:tr>
      <w:tr w:rsidR="00902956" w:rsidRPr="00FC3EDD">
        <w:trPr>
          <w:trHeight w:val="257"/>
        </w:trPr>
        <w:tc>
          <w:tcPr>
            <w:tcW w:w="1082"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Eqpt</w:t>
            </w:r>
          </w:p>
        </w:tc>
        <w:tc>
          <w:tcPr>
            <w:tcW w:w="3268"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Equipment</w:t>
            </w:r>
          </w:p>
        </w:tc>
        <w:tc>
          <w:tcPr>
            <w:tcW w:w="251" w:type="dxa"/>
            <w:tcBorders>
              <w:top w:val="single" w:sz="4" w:space="0" w:color="FFFFFF"/>
              <w:left w:val="single" w:sz="4" w:space="0" w:color="000000"/>
              <w:bottom w:val="single" w:sz="4" w:space="0" w:color="FFFFFF"/>
              <w:right w:val="single" w:sz="4" w:space="0" w:color="000000"/>
            </w:tcBorders>
          </w:tcPr>
          <w:p w:rsidR="00902956" w:rsidRPr="00FC3EDD" w:rsidRDefault="002D41B7" w:rsidP="00902956">
            <w:pPr>
              <w:pStyle w:val="NoSpacing"/>
              <w:rPr>
                <w:rFonts w:ascii="Verdana" w:hAnsi="Verdana"/>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Sal</w:t>
            </w:r>
          </w:p>
        </w:tc>
        <w:tc>
          <w:tcPr>
            <w:tcW w:w="2956"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Salary</w:t>
            </w:r>
          </w:p>
        </w:tc>
      </w:tr>
      <w:tr w:rsidR="00902956" w:rsidRPr="00FC3EDD">
        <w:trPr>
          <w:trHeight w:val="257"/>
        </w:trPr>
        <w:tc>
          <w:tcPr>
            <w:tcW w:w="1082"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Exp</w:t>
            </w:r>
          </w:p>
        </w:tc>
        <w:tc>
          <w:tcPr>
            <w:tcW w:w="3268"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Expense</w:t>
            </w:r>
          </w:p>
        </w:tc>
        <w:tc>
          <w:tcPr>
            <w:tcW w:w="251" w:type="dxa"/>
            <w:tcBorders>
              <w:top w:val="single" w:sz="4" w:space="0" w:color="FFFFFF"/>
              <w:left w:val="single" w:sz="4" w:space="0" w:color="000000"/>
              <w:bottom w:val="single" w:sz="4" w:space="0" w:color="FFFFFF"/>
              <w:right w:val="single" w:sz="4" w:space="0" w:color="000000"/>
            </w:tcBorders>
          </w:tcPr>
          <w:p w:rsidR="00902956" w:rsidRPr="00FC3EDD" w:rsidRDefault="002D41B7" w:rsidP="00902956">
            <w:pPr>
              <w:pStyle w:val="NoSpacing"/>
              <w:rPr>
                <w:rFonts w:ascii="Verdana" w:hAnsi="Verdana"/>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Sr</w:t>
            </w:r>
          </w:p>
        </w:tc>
        <w:tc>
          <w:tcPr>
            <w:tcW w:w="2956"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Senior</w:t>
            </w:r>
          </w:p>
        </w:tc>
      </w:tr>
      <w:tr w:rsidR="00902956" w:rsidRPr="00FC3EDD">
        <w:trPr>
          <w:trHeight w:val="257"/>
        </w:trPr>
        <w:tc>
          <w:tcPr>
            <w:tcW w:w="1082"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Fac</w:t>
            </w:r>
          </w:p>
        </w:tc>
        <w:tc>
          <w:tcPr>
            <w:tcW w:w="3268"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Faculty</w:t>
            </w:r>
          </w:p>
        </w:tc>
        <w:tc>
          <w:tcPr>
            <w:tcW w:w="251" w:type="dxa"/>
            <w:tcBorders>
              <w:top w:val="single" w:sz="4" w:space="0" w:color="FFFFFF"/>
              <w:left w:val="single" w:sz="4" w:space="0" w:color="000000"/>
              <w:bottom w:val="single" w:sz="4" w:space="0" w:color="FFFFFF"/>
              <w:right w:val="single" w:sz="4" w:space="0" w:color="000000"/>
            </w:tcBorders>
          </w:tcPr>
          <w:p w:rsidR="00902956" w:rsidRPr="00FC3EDD" w:rsidRDefault="002D41B7" w:rsidP="00902956">
            <w:pPr>
              <w:pStyle w:val="NoSpacing"/>
              <w:rPr>
                <w:rFonts w:ascii="Verdana" w:hAnsi="Verdana"/>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Tot</w:t>
            </w:r>
          </w:p>
        </w:tc>
        <w:tc>
          <w:tcPr>
            <w:tcW w:w="2956"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Total</w:t>
            </w:r>
          </w:p>
        </w:tc>
      </w:tr>
      <w:tr w:rsidR="00902956" w:rsidRPr="00FC3EDD">
        <w:trPr>
          <w:trHeight w:val="257"/>
        </w:trPr>
        <w:tc>
          <w:tcPr>
            <w:tcW w:w="1082"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Invest</w:t>
            </w:r>
          </w:p>
        </w:tc>
        <w:tc>
          <w:tcPr>
            <w:tcW w:w="3268"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sidRPr="00FC3EDD">
              <w:rPr>
                <w:rFonts w:ascii="Verdana" w:hAnsi="Verdana"/>
                <w:sz w:val="20"/>
                <w:szCs w:val="20"/>
              </w:rPr>
              <w:t>Investment</w:t>
            </w:r>
          </w:p>
        </w:tc>
        <w:tc>
          <w:tcPr>
            <w:tcW w:w="251" w:type="dxa"/>
            <w:tcBorders>
              <w:top w:val="single" w:sz="4" w:space="0" w:color="FFFFFF"/>
              <w:left w:val="single" w:sz="4" w:space="0" w:color="000000"/>
              <w:bottom w:val="single" w:sz="4" w:space="0" w:color="FFFFFF"/>
              <w:right w:val="single" w:sz="4" w:space="0" w:color="000000"/>
            </w:tcBorders>
          </w:tcPr>
          <w:p w:rsidR="00902956" w:rsidRPr="00FC3EDD" w:rsidRDefault="002D41B7" w:rsidP="00902956">
            <w:pPr>
              <w:pStyle w:val="NoSpacing"/>
              <w:rPr>
                <w:rFonts w:ascii="Verdana" w:hAnsi="Verdana"/>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Pr>
                <w:rFonts w:ascii="Verdana" w:hAnsi="Verdana"/>
                <w:sz w:val="20"/>
                <w:szCs w:val="20"/>
              </w:rPr>
              <w:t>Op</w:t>
            </w:r>
          </w:p>
        </w:tc>
        <w:tc>
          <w:tcPr>
            <w:tcW w:w="2956" w:type="dxa"/>
            <w:tcBorders>
              <w:top w:val="single" w:sz="4" w:space="0" w:color="000000"/>
              <w:left w:val="single" w:sz="4" w:space="0" w:color="000000"/>
              <w:bottom w:val="single" w:sz="4" w:space="0" w:color="000000"/>
              <w:right w:val="single" w:sz="4" w:space="0" w:color="000000"/>
            </w:tcBorders>
          </w:tcPr>
          <w:p w:rsidR="00902956" w:rsidRPr="00FC3EDD" w:rsidRDefault="002D41B7" w:rsidP="00902956">
            <w:pPr>
              <w:pStyle w:val="NoSpacing"/>
              <w:rPr>
                <w:rFonts w:ascii="Verdana" w:hAnsi="Verdana"/>
                <w:sz w:val="20"/>
                <w:szCs w:val="20"/>
              </w:rPr>
            </w:pPr>
            <w:r>
              <w:rPr>
                <w:rFonts w:ascii="Verdana" w:hAnsi="Verdana"/>
                <w:sz w:val="20"/>
                <w:szCs w:val="20"/>
              </w:rPr>
              <w:t>Operation</w:t>
            </w:r>
          </w:p>
        </w:tc>
      </w:tr>
    </w:tbl>
    <w:p w:rsidR="00902956" w:rsidRPr="00FC3EDD" w:rsidRDefault="002D41B7" w:rsidP="00902956">
      <w:pPr>
        <w:pStyle w:val="NoSpacing"/>
        <w:rPr>
          <w:rFonts w:ascii="Verdana" w:hAnsi="Verdana"/>
          <w:b/>
          <w:sz w:val="20"/>
          <w:szCs w:val="20"/>
        </w:rPr>
      </w:pPr>
    </w:p>
    <w:p w:rsidR="00902956" w:rsidRPr="00FC3EDD" w:rsidRDefault="002D41B7" w:rsidP="00902956">
      <w:pPr>
        <w:pStyle w:val="NoSpacing"/>
        <w:ind w:left="720"/>
        <w:rPr>
          <w:rFonts w:ascii="Verdana" w:hAnsi="Verdana"/>
          <w:sz w:val="20"/>
          <w:szCs w:val="20"/>
        </w:rPr>
      </w:pPr>
    </w:p>
    <w:p w:rsidR="00902956" w:rsidRDefault="002D41B7" w:rsidP="00902956">
      <w:pPr>
        <w:pStyle w:val="NoSpacing"/>
        <w:outlineLvl w:val="0"/>
        <w:rPr>
          <w:rFonts w:ascii="Verdana" w:hAnsi="Verdana"/>
          <w:b/>
          <w:sz w:val="20"/>
          <w:szCs w:val="20"/>
        </w:rPr>
      </w:pPr>
      <w:r>
        <w:rPr>
          <w:rFonts w:ascii="Verdana" w:hAnsi="Verdana"/>
          <w:b/>
          <w:sz w:val="20"/>
          <w:szCs w:val="20"/>
        </w:rPr>
        <w:t xml:space="preserve">4. </w:t>
      </w:r>
      <w:r w:rsidRPr="00FC3EDD">
        <w:rPr>
          <w:rFonts w:ascii="Verdana" w:hAnsi="Verdana"/>
          <w:b/>
          <w:sz w:val="20"/>
          <w:szCs w:val="20"/>
        </w:rPr>
        <w:t>Step-by-</w:t>
      </w:r>
      <w:r>
        <w:rPr>
          <w:rFonts w:ascii="Verdana" w:hAnsi="Verdana"/>
          <w:b/>
          <w:sz w:val="20"/>
          <w:szCs w:val="20"/>
        </w:rPr>
        <w:t>s</w:t>
      </w:r>
      <w:r w:rsidRPr="00FC3EDD">
        <w:rPr>
          <w:rFonts w:ascii="Verdana" w:hAnsi="Verdana"/>
          <w:b/>
          <w:sz w:val="20"/>
          <w:szCs w:val="20"/>
        </w:rPr>
        <w:t>t</w:t>
      </w:r>
      <w:r w:rsidRPr="00FC3EDD">
        <w:rPr>
          <w:rFonts w:ascii="Verdana" w:hAnsi="Verdana"/>
          <w:b/>
          <w:sz w:val="20"/>
          <w:szCs w:val="20"/>
        </w:rPr>
        <w:t xml:space="preserve">ep use of the </w:t>
      </w:r>
      <w:r>
        <w:rPr>
          <w:rFonts w:ascii="Verdana" w:hAnsi="Verdana"/>
          <w:b/>
          <w:sz w:val="20"/>
          <w:szCs w:val="20"/>
        </w:rPr>
        <w:t>m</w:t>
      </w:r>
      <w:r w:rsidRPr="00FC3EDD">
        <w:rPr>
          <w:rFonts w:ascii="Verdana" w:hAnsi="Verdana"/>
          <w:b/>
          <w:sz w:val="20"/>
          <w:szCs w:val="20"/>
        </w:rPr>
        <w:t>odel</w:t>
      </w:r>
    </w:p>
    <w:p w:rsidR="00902956" w:rsidRPr="00FC0DC6" w:rsidRDefault="002D41B7" w:rsidP="00902956">
      <w:pPr>
        <w:pStyle w:val="NoSpacing"/>
        <w:outlineLvl w:val="0"/>
        <w:rPr>
          <w:rFonts w:ascii="Verdana" w:hAnsi="Verdana"/>
          <w:bCs/>
          <w:sz w:val="20"/>
          <w:szCs w:val="20"/>
        </w:rPr>
      </w:pPr>
      <w:r w:rsidRPr="00FC0DC6">
        <w:rPr>
          <w:rFonts w:ascii="Verdana" w:hAnsi="Verdana"/>
          <w:bCs/>
          <w:sz w:val="20"/>
          <w:szCs w:val="20"/>
        </w:rPr>
        <w:t xml:space="preserve">The </w:t>
      </w:r>
      <w:r>
        <w:rPr>
          <w:rFonts w:ascii="Verdana" w:hAnsi="Verdana"/>
          <w:bCs/>
          <w:sz w:val="20"/>
          <w:szCs w:val="20"/>
        </w:rPr>
        <w:t>model is structured to give users the flexibility to run a couple of scenarios mainly by manipulating the revenue stream. In the “InputsParameters,” you will see three cells that are highlighted in orange – average success rate of s</w:t>
      </w:r>
      <w:r>
        <w:rPr>
          <w:rFonts w:ascii="Verdana" w:hAnsi="Verdana"/>
          <w:bCs/>
          <w:sz w:val="20"/>
          <w:szCs w:val="20"/>
        </w:rPr>
        <w:t xml:space="preserve">enior faculty’s research grant, average success rate of junior faculty’s research grant and endowment return. The best case scenario can be run by manipulating the inputs so that the average success rate of research grant and the endowment return are both </w:t>
      </w:r>
      <w:r>
        <w:rPr>
          <w:rFonts w:ascii="Verdana" w:hAnsi="Verdana"/>
          <w:bCs/>
          <w:sz w:val="20"/>
          <w:szCs w:val="20"/>
        </w:rPr>
        <w:t>high. On the other hand, the worst case scenario can be run by decreasing the average success rate of research grant and the endowment return. Below is the guide to change the scenarios and their impact in the required investment of the University:</w:t>
      </w:r>
    </w:p>
    <w:p w:rsidR="00902956" w:rsidRPr="00C151EF" w:rsidRDefault="002D41B7" w:rsidP="00902956">
      <w:pPr>
        <w:pStyle w:val="NoSpacing"/>
        <w:numPr>
          <w:ilvl w:val="0"/>
          <w:numId w:val="20"/>
        </w:numPr>
        <w:rPr>
          <w:rFonts w:ascii="Verdana" w:hAnsi="Verdana"/>
          <w:bCs/>
          <w:sz w:val="20"/>
          <w:szCs w:val="20"/>
        </w:rPr>
      </w:pPr>
      <w:r w:rsidRPr="00C151EF">
        <w:rPr>
          <w:rFonts w:ascii="Verdana" w:hAnsi="Verdana"/>
          <w:bCs/>
          <w:sz w:val="20"/>
          <w:szCs w:val="20"/>
        </w:rPr>
        <w:t>High re</w:t>
      </w:r>
      <w:r w:rsidRPr="00C151EF">
        <w:rPr>
          <w:rFonts w:ascii="Verdana" w:hAnsi="Verdana"/>
          <w:bCs/>
          <w:sz w:val="20"/>
          <w:szCs w:val="20"/>
        </w:rPr>
        <w:t>search grant and high endowment return – First, increase the average success rate of the senior and junior faculty to receive research grant in the “InputsParameters” worksheet. This parameter is named “GrantSuccessAvg.”  Then, change the value of “Endowme</w:t>
      </w:r>
      <w:r>
        <w:rPr>
          <w:rFonts w:ascii="Verdana" w:hAnsi="Verdana"/>
          <w:bCs/>
          <w:sz w:val="20"/>
          <w:szCs w:val="20"/>
        </w:rPr>
        <w:t>nt Return</w:t>
      </w:r>
      <w:r w:rsidRPr="00C151EF">
        <w:rPr>
          <w:rFonts w:ascii="Verdana" w:hAnsi="Verdana"/>
          <w:bCs/>
          <w:sz w:val="20"/>
          <w:szCs w:val="20"/>
        </w:rPr>
        <w:t xml:space="preserve">” in cell </w:t>
      </w:r>
      <w:r>
        <w:rPr>
          <w:rFonts w:ascii="Verdana" w:hAnsi="Verdana"/>
          <w:bCs/>
          <w:sz w:val="20"/>
          <w:szCs w:val="20"/>
        </w:rPr>
        <w:t>named “EndowmentReturn.”</w:t>
      </w:r>
      <w:r w:rsidRPr="00C151EF">
        <w:rPr>
          <w:rFonts w:ascii="Verdana" w:hAnsi="Verdana"/>
          <w:bCs/>
          <w:sz w:val="20"/>
          <w:szCs w:val="20"/>
        </w:rPr>
        <w:t xml:space="preserve"> These changes will increase the sponsored and endowment revenues in “SponsoredRev,” “EndowRev” and “Summary” worksheets. As a result, the required investment shown in the “Summary” worksheet will decrease. </w:t>
      </w:r>
    </w:p>
    <w:p w:rsidR="00902956" w:rsidRDefault="002D41B7" w:rsidP="00902956">
      <w:pPr>
        <w:pStyle w:val="NoSpacing"/>
        <w:numPr>
          <w:ilvl w:val="0"/>
          <w:numId w:val="20"/>
        </w:numPr>
        <w:rPr>
          <w:rFonts w:ascii="Verdana" w:hAnsi="Verdana"/>
          <w:bCs/>
          <w:sz w:val="20"/>
          <w:szCs w:val="20"/>
        </w:rPr>
      </w:pPr>
      <w:r w:rsidRPr="00C151EF">
        <w:rPr>
          <w:rFonts w:ascii="Verdana" w:hAnsi="Verdana"/>
          <w:bCs/>
          <w:sz w:val="20"/>
          <w:szCs w:val="20"/>
        </w:rPr>
        <w:t>Low r</w:t>
      </w:r>
      <w:r w:rsidRPr="00C151EF">
        <w:rPr>
          <w:rFonts w:ascii="Verdana" w:hAnsi="Verdana"/>
          <w:bCs/>
          <w:sz w:val="20"/>
          <w:szCs w:val="20"/>
        </w:rPr>
        <w:t>esearch grant and low endowment return – First, decrease the average succ</w:t>
      </w:r>
      <w:r>
        <w:rPr>
          <w:rFonts w:ascii="Verdana" w:hAnsi="Verdana"/>
          <w:bCs/>
          <w:sz w:val="20"/>
          <w:szCs w:val="20"/>
        </w:rPr>
        <w:t>ess rates in parameter “GrantSuccessAvg,”</w:t>
      </w:r>
      <w:r w:rsidRPr="00C151EF">
        <w:rPr>
          <w:rFonts w:ascii="Verdana" w:hAnsi="Verdana"/>
          <w:bCs/>
          <w:sz w:val="20"/>
          <w:szCs w:val="20"/>
        </w:rPr>
        <w:t xml:space="preserve"> followed by changing the </w:t>
      </w:r>
      <w:r>
        <w:rPr>
          <w:rFonts w:ascii="Verdana" w:hAnsi="Verdana"/>
          <w:bCs/>
          <w:sz w:val="20"/>
          <w:szCs w:val="20"/>
        </w:rPr>
        <w:t>“EndowmentReturn</w:t>
      </w:r>
      <w:r w:rsidRPr="00C151EF">
        <w:rPr>
          <w:rFonts w:ascii="Verdana" w:hAnsi="Verdana"/>
          <w:bCs/>
          <w:sz w:val="20"/>
          <w:szCs w:val="20"/>
        </w:rPr>
        <w:t>”</w:t>
      </w:r>
      <w:r>
        <w:rPr>
          <w:rFonts w:ascii="Verdana" w:hAnsi="Verdana"/>
          <w:bCs/>
          <w:sz w:val="20"/>
          <w:szCs w:val="20"/>
        </w:rPr>
        <w:t xml:space="preserve"> </w:t>
      </w:r>
      <w:r w:rsidRPr="00C151EF">
        <w:rPr>
          <w:rFonts w:ascii="Verdana" w:hAnsi="Verdana"/>
          <w:bCs/>
          <w:sz w:val="20"/>
          <w:szCs w:val="20"/>
        </w:rPr>
        <w:t>in the “InputsParameters” worksheet. This will decrease both the sponsored and endowment revenue a</w:t>
      </w:r>
      <w:r w:rsidRPr="00C151EF">
        <w:rPr>
          <w:rFonts w:ascii="Verdana" w:hAnsi="Verdana"/>
          <w:bCs/>
          <w:sz w:val="20"/>
          <w:szCs w:val="20"/>
        </w:rPr>
        <w:t xml:space="preserve">nd result in a higher required investment in the “Summary” worksheet. </w:t>
      </w:r>
    </w:p>
    <w:p w:rsidR="00902956" w:rsidRDefault="002D41B7" w:rsidP="00902956">
      <w:pPr>
        <w:pStyle w:val="NoSpacing"/>
        <w:numPr>
          <w:ilvl w:val="0"/>
          <w:numId w:val="20"/>
        </w:numPr>
        <w:rPr>
          <w:rFonts w:ascii="Verdana" w:hAnsi="Verdana"/>
          <w:bCs/>
          <w:sz w:val="20"/>
          <w:szCs w:val="20"/>
        </w:rPr>
      </w:pPr>
      <w:r>
        <w:rPr>
          <w:rFonts w:ascii="Verdana" w:hAnsi="Verdana"/>
          <w:bCs/>
          <w:sz w:val="20"/>
          <w:szCs w:val="20"/>
        </w:rPr>
        <w:t>A combination of high success rate in research grant and low endowment return and vice versa can be run depending on the users view on what may be a realistic scenario.</w:t>
      </w:r>
    </w:p>
    <w:p w:rsidR="00902956" w:rsidRPr="00FC3EDD" w:rsidRDefault="002D41B7" w:rsidP="00902956">
      <w:pPr>
        <w:pStyle w:val="NoSpacing"/>
        <w:rPr>
          <w:rFonts w:ascii="Verdana" w:hAnsi="Verdana"/>
          <w:sz w:val="20"/>
          <w:szCs w:val="20"/>
        </w:rPr>
      </w:pPr>
      <w:r>
        <w:rPr>
          <w:rFonts w:ascii="Verdana" w:hAnsi="Verdana"/>
          <w:bCs/>
          <w:sz w:val="20"/>
          <w:szCs w:val="20"/>
        </w:rPr>
        <w:t>This flexibility</w:t>
      </w:r>
      <w:r>
        <w:rPr>
          <w:rFonts w:ascii="Verdana" w:hAnsi="Verdana"/>
          <w:bCs/>
          <w:sz w:val="20"/>
          <w:szCs w:val="20"/>
        </w:rPr>
        <w:t xml:space="preserve"> that has been built into the model will be very useful in making the decision about whether or not the University should invest into the new department. The model will allow the user to get an idea of the range of required investment both annually and cum</w:t>
      </w:r>
      <w:r>
        <w:rPr>
          <w:rFonts w:ascii="Verdana" w:hAnsi="Verdana"/>
          <w:bCs/>
          <w:sz w:val="20"/>
          <w:szCs w:val="20"/>
        </w:rPr>
        <w:t>ulatively over the next 12 years. The decision for such a large investment should only be done after a thorough evaluation of the implications given what the user believes is a realistic set of assumptions. As mentioned above, the model does allow the user</w:t>
      </w:r>
      <w:r>
        <w:rPr>
          <w:rFonts w:ascii="Verdana" w:hAnsi="Verdana"/>
          <w:bCs/>
          <w:sz w:val="20"/>
          <w:szCs w:val="20"/>
        </w:rPr>
        <w:t xml:space="preserve"> to make adjustments to other inputs (light yellow cells in “InputsParameters”) as well if the views on inputs like inflation, debt service, number of recruits, etc. change given the relatively long investment horizon of this project.</w:t>
      </w:r>
    </w:p>
    <w:p w:rsidR="00902956" w:rsidRPr="00FC3EDD" w:rsidRDefault="002D41B7" w:rsidP="00902956">
      <w:pPr>
        <w:pStyle w:val="NoSpacing"/>
        <w:ind w:left="720"/>
        <w:rPr>
          <w:rFonts w:ascii="Verdana" w:hAnsi="Verdana"/>
          <w:sz w:val="20"/>
          <w:szCs w:val="20"/>
        </w:rPr>
      </w:pPr>
    </w:p>
    <w:p w:rsidR="00902956" w:rsidRPr="00FC3EDD" w:rsidRDefault="002D41B7" w:rsidP="00902956">
      <w:pPr>
        <w:pStyle w:val="NoSpacing"/>
        <w:ind w:left="720"/>
        <w:rPr>
          <w:rFonts w:ascii="Verdana" w:hAnsi="Verdana"/>
          <w:sz w:val="20"/>
          <w:szCs w:val="20"/>
        </w:rPr>
      </w:pPr>
    </w:p>
    <w:p w:rsidR="00902956" w:rsidRPr="00FC3EDD" w:rsidRDefault="002D41B7" w:rsidP="00902956">
      <w:pPr>
        <w:pStyle w:val="NoSpacing"/>
        <w:ind w:left="720"/>
        <w:rPr>
          <w:rFonts w:ascii="Verdana" w:hAnsi="Verdana"/>
          <w:sz w:val="20"/>
          <w:szCs w:val="20"/>
        </w:rPr>
      </w:pPr>
    </w:p>
    <w:p w:rsidR="00902956" w:rsidRPr="00FC3EDD" w:rsidRDefault="002D41B7" w:rsidP="00902956">
      <w:pPr>
        <w:pStyle w:val="NoSpacing"/>
        <w:ind w:left="720"/>
        <w:rPr>
          <w:rFonts w:ascii="Verdana" w:hAnsi="Verdana"/>
          <w:sz w:val="20"/>
          <w:szCs w:val="20"/>
        </w:rPr>
      </w:pPr>
    </w:p>
    <w:p w:rsidR="00902956" w:rsidRPr="00FC3EDD" w:rsidRDefault="002D41B7" w:rsidP="00902956">
      <w:pPr>
        <w:pStyle w:val="NoSpacing"/>
        <w:ind w:left="720"/>
        <w:rPr>
          <w:rFonts w:ascii="Verdana" w:hAnsi="Verdana"/>
          <w:sz w:val="20"/>
          <w:szCs w:val="20"/>
        </w:rPr>
      </w:pPr>
    </w:p>
    <w:p w:rsidR="00902956" w:rsidRPr="00FC3EDD" w:rsidRDefault="002D41B7" w:rsidP="00902956">
      <w:pPr>
        <w:pStyle w:val="NoSpacing"/>
        <w:rPr>
          <w:rFonts w:ascii="Verdana" w:hAnsi="Verdana"/>
          <w:sz w:val="20"/>
          <w:szCs w:val="20"/>
        </w:rPr>
      </w:pPr>
    </w:p>
    <w:sectPr w:rsidR="00902956" w:rsidRPr="00FC3EDD" w:rsidSect="009029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56" w:rsidRDefault="002D41B7" w:rsidP="00902956">
      <w:pPr>
        <w:spacing w:after="0" w:line="240" w:lineRule="auto"/>
      </w:pPr>
      <w:r>
        <w:separator/>
      </w:r>
    </w:p>
  </w:endnote>
  <w:endnote w:type="continuationSeparator" w:id="0">
    <w:p w:rsidR="00902956" w:rsidRDefault="002D41B7" w:rsidP="0090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6" w:rsidRDefault="002D4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6" w:rsidRDefault="002D4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6" w:rsidRDefault="002D4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56" w:rsidRDefault="002D41B7" w:rsidP="00902956">
      <w:pPr>
        <w:spacing w:after="0" w:line="240" w:lineRule="auto"/>
      </w:pPr>
      <w:r>
        <w:separator/>
      </w:r>
    </w:p>
  </w:footnote>
  <w:footnote w:type="continuationSeparator" w:id="0">
    <w:p w:rsidR="00902956" w:rsidRDefault="002D41B7" w:rsidP="00902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6" w:rsidRDefault="002D4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6" w:rsidRPr="000D1CC2" w:rsidRDefault="002D41B7" w:rsidP="00902956">
    <w:pPr>
      <w:pStyle w:val="Header"/>
      <w:spacing w:after="0" w:line="240" w:lineRule="auto"/>
      <w:ind w:right="400"/>
      <w:rPr>
        <w:rFonts w:ascii="Verdana" w:hAnsi="Verdana"/>
        <w:sz w:val="20"/>
        <w:szCs w:val="20"/>
        <w:lang w:val="fr-FR"/>
      </w:rPr>
    </w:pPr>
    <w:r w:rsidRPr="000D1CC2">
      <w:rPr>
        <w:rStyle w:val="PageNumber"/>
        <w:rFonts w:ascii="Verdana" w:hAnsi="Verdana"/>
        <w:sz w:val="20"/>
        <w:szCs w:val="20"/>
        <w:lang w:val="fr-FR"/>
      </w:rPr>
      <w:t>P</w:t>
    </w:r>
    <w:r w:rsidRPr="000D1CC2">
      <w:rPr>
        <w:rStyle w:val="PageNumber"/>
        <w:rFonts w:ascii="Verdana" w:hAnsi="Verdana"/>
        <w:sz w:val="20"/>
        <w:szCs w:val="20"/>
        <w:lang w:val="fr-FR"/>
      </w:rPr>
      <w:t xml:space="preserve">age </w:t>
    </w:r>
    <w:r w:rsidRPr="006B7DFC">
      <w:rPr>
        <w:rStyle w:val="PageNumber"/>
        <w:rFonts w:ascii="Verdana" w:hAnsi="Verdana"/>
        <w:sz w:val="20"/>
        <w:szCs w:val="20"/>
      </w:rPr>
      <w:fldChar w:fldCharType="begin"/>
    </w:r>
    <w:r w:rsidRPr="000D1CC2">
      <w:rPr>
        <w:rStyle w:val="PageNumber"/>
        <w:rFonts w:ascii="Verdana" w:hAnsi="Verdana"/>
        <w:sz w:val="20"/>
        <w:szCs w:val="20"/>
        <w:lang w:val="fr-FR"/>
      </w:rPr>
      <w:instrText xml:space="preserve"> PAGE </w:instrText>
    </w:r>
    <w:r w:rsidRPr="006B7DFC">
      <w:rPr>
        <w:rStyle w:val="PageNumber"/>
        <w:rFonts w:ascii="Verdana" w:hAnsi="Verdana"/>
        <w:sz w:val="20"/>
        <w:szCs w:val="20"/>
      </w:rPr>
      <w:fldChar w:fldCharType="separate"/>
    </w:r>
    <w:r>
      <w:rPr>
        <w:rStyle w:val="PageNumber"/>
        <w:rFonts w:ascii="Verdana" w:hAnsi="Verdana"/>
        <w:noProof/>
        <w:sz w:val="20"/>
        <w:szCs w:val="20"/>
        <w:lang w:val="fr-FR"/>
      </w:rPr>
      <w:t>2</w:t>
    </w:r>
    <w:r w:rsidRPr="006B7DFC">
      <w:rPr>
        <w:rStyle w:val="PageNumber"/>
        <w:rFonts w:ascii="Verdana" w:hAnsi="Verdana"/>
        <w:sz w:val="20"/>
        <w:szCs w:val="20"/>
      </w:rPr>
      <w:fldChar w:fldCharType="end"/>
    </w:r>
    <w:r w:rsidRPr="000D1CC2">
      <w:rPr>
        <w:rStyle w:val="PageNumber"/>
        <w:rFonts w:ascii="Verdana" w:hAnsi="Verdana"/>
        <w:sz w:val="20"/>
        <w:szCs w:val="20"/>
        <w:lang w:val="fr-FR"/>
      </w:rPr>
      <w:t xml:space="preserve">                         SciDept</w:t>
    </w:r>
    <w:r w:rsidRPr="000D1CC2">
      <w:rPr>
        <w:rFonts w:ascii="Verdana" w:hAnsi="Verdana"/>
        <w:sz w:val="20"/>
        <w:szCs w:val="20"/>
        <w:lang w:val="fr-FR"/>
      </w:rPr>
      <w:tab/>
      <w:t xml:space="preserve">                        User Guide                   Revision</w:t>
    </w:r>
    <w:r>
      <w:rPr>
        <w:rFonts w:ascii="Verdana" w:hAnsi="Verdana"/>
        <w:sz w:val="20"/>
        <w:szCs w:val="20"/>
        <w:lang w:val="fr-FR"/>
      </w:rPr>
      <w:t xml:space="preserve"> 3</w:t>
    </w:r>
    <w:r w:rsidRPr="000D1CC2">
      <w:rPr>
        <w:rFonts w:ascii="Verdana" w:hAnsi="Verdana"/>
        <w:sz w:val="20"/>
        <w:szCs w:val="20"/>
        <w:lang w:val="fr-FR"/>
      </w:rPr>
      <w:t>.</w:t>
    </w:r>
    <w:r>
      <w:rPr>
        <w:rFonts w:ascii="Verdana" w:hAnsi="Verdana"/>
        <w:sz w:val="20"/>
        <w:szCs w:val="20"/>
        <w:lang w:val="fr-FR"/>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56" w:rsidRDefault="002D4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A5A"/>
    <w:multiLevelType w:val="hybridMultilevel"/>
    <w:tmpl w:val="3410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9769A"/>
    <w:multiLevelType w:val="hybridMultilevel"/>
    <w:tmpl w:val="613E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D502E"/>
    <w:multiLevelType w:val="hybridMultilevel"/>
    <w:tmpl w:val="8C22A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5126B"/>
    <w:multiLevelType w:val="hybridMultilevel"/>
    <w:tmpl w:val="77E63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E395F"/>
    <w:multiLevelType w:val="hybridMultilevel"/>
    <w:tmpl w:val="4E5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32671"/>
    <w:multiLevelType w:val="hybridMultilevel"/>
    <w:tmpl w:val="098A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B490F"/>
    <w:multiLevelType w:val="hybridMultilevel"/>
    <w:tmpl w:val="FB36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A52AC"/>
    <w:multiLevelType w:val="hybridMultilevel"/>
    <w:tmpl w:val="7E10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57D7B"/>
    <w:multiLevelType w:val="hybridMultilevel"/>
    <w:tmpl w:val="70A016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D626D2"/>
    <w:multiLevelType w:val="hybridMultilevel"/>
    <w:tmpl w:val="DB58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80B58"/>
    <w:multiLevelType w:val="hybridMultilevel"/>
    <w:tmpl w:val="AE5C9A4E"/>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116B36"/>
    <w:multiLevelType w:val="hybridMultilevel"/>
    <w:tmpl w:val="7354F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1E392D"/>
    <w:multiLevelType w:val="hybridMultilevel"/>
    <w:tmpl w:val="E8967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56430A"/>
    <w:multiLevelType w:val="hybridMultilevel"/>
    <w:tmpl w:val="339E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1B23C0"/>
    <w:multiLevelType w:val="hybridMultilevel"/>
    <w:tmpl w:val="5B042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394EFC"/>
    <w:multiLevelType w:val="hybridMultilevel"/>
    <w:tmpl w:val="9C9465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3D0C0E"/>
    <w:multiLevelType w:val="hybridMultilevel"/>
    <w:tmpl w:val="7F18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F21C9"/>
    <w:multiLevelType w:val="hybridMultilevel"/>
    <w:tmpl w:val="A072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C2DA3"/>
    <w:multiLevelType w:val="hybridMultilevel"/>
    <w:tmpl w:val="1064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9660B"/>
    <w:multiLevelType w:val="hybridMultilevel"/>
    <w:tmpl w:val="2280D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9"/>
  </w:num>
  <w:num w:numId="4">
    <w:abstractNumId w:val="4"/>
  </w:num>
  <w:num w:numId="5">
    <w:abstractNumId w:val="15"/>
  </w:num>
  <w:num w:numId="6">
    <w:abstractNumId w:val="1"/>
  </w:num>
  <w:num w:numId="7">
    <w:abstractNumId w:val="8"/>
  </w:num>
  <w:num w:numId="8">
    <w:abstractNumId w:val="17"/>
  </w:num>
  <w:num w:numId="9">
    <w:abstractNumId w:val="7"/>
  </w:num>
  <w:num w:numId="10">
    <w:abstractNumId w:val="11"/>
  </w:num>
  <w:num w:numId="11">
    <w:abstractNumId w:val="19"/>
  </w:num>
  <w:num w:numId="12">
    <w:abstractNumId w:val="5"/>
  </w:num>
  <w:num w:numId="13">
    <w:abstractNumId w:val="14"/>
  </w:num>
  <w:num w:numId="14">
    <w:abstractNumId w:val="2"/>
  </w:num>
  <w:num w:numId="15">
    <w:abstractNumId w:val="13"/>
  </w:num>
  <w:num w:numId="16">
    <w:abstractNumId w:val="6"/>
  </w:num>
  <w:num w:numId="17">
    <w:abstractNumId w:val="3"/>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4D3"/>
    <w:rsid w:val="002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2C21"/>
    <w:pPr>
      <w:spacing w:after="200" w:line="276" w:lineRule="auto"/>
    </w:pPr>
    <w:rPr>
      <w:sz w:val="22"/>
      <w:szCs w:val="22"/>
      <w:lang w:bidi="en-US"/>
    </w:rPr>
  </w:style>
  <w:style w:type="paragraph" w:styleId="Heading1">
    <w:name w:val="heading 1"/>
    <w:basedOn w:val="Normal"/>
    <w:next w:val="Normal"/>
    <w:link w:val="Heading1Char"/>
    <w:uiPriority w:val="9"/>
    <w:qFormat/>
    <w:rsid w:val="003A2C2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3A2C2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3A2C2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3A2C21"/>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3A2C21"/>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3A2C2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3A2C21"/>
    <w:pPr>
      <w:spacing w:after="0"/>
      <w:outlineLvl w:val="6"/>
    </w:pPr>
    <w:rPr>
      <w:rFonts w:ascii="Cambria" w:hAnsi="Cambria"/>
      <w:i/>
      <w:iCs/>
    </w:rPr>
  </w:style>
  <w:style w:type="paragraph" w:styleId="Heading8">
    <w:name w:val="heading 8"/>
    <w:basedOn w:val="Normal"/>
    <w:next w:val="Normal"/>
    <w:link w:val="Heading8Char"/>
    <w:uiPriority w:val="9"/>
    <w:qFormat/>
    <w:rsid w:val="003A2C21"/>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3A2C21"/>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C21"/>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3A2C21"/>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3A2C21"/>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3A2C2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3A2C2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3A2C2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3A2C2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3A2C2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3A2C2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A2C2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3A2C2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A2C21"/>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3A2C21"/>
    <w:rPr>
      <w:rFonts w:ascii="Cambria" w:eastAsia="Times New Roman" w:hAnsi="Cambria" w:cs="Times New Roman"/>
      <w:i/>
      <w:iCs/>
      <w:spacing w:val="13"/>
      <w:sz w:val="24"/>
      <w:szCs w:val="24"/>
    </w:rPr>
  </w:style>
  <w:style w:type="character" w:styleId="Strong">
    <w:name w:val="Strong"/>
    <w:uiPriority w:val="22"/>
    <w:qFormat/>
    <w:rsid w:val="003A2C21"/>
    <w:rPr>
      <w:b/>
      <w:bCs/>
    </w:rPr>
  </w:style>
  <w:style w:type="character" w:styleId="Emphasis">
    <w:name w:val="Emphasis"/>
    <w:uiPriority w:val="20"/>
    <w:qFormat/>
    <w:rsid w:val="003A2C21"/>
    <w:rPr>
      <w:b/>
      <w:bCs/>
      <w:i/>
      <w:iCs/>
      <w:spacing w:val="10"/>
      <w:bdr w:val="none" w:sz="0" w:space="0" w:color="auto"/>
      <w:shd w:val="clear" w:color="auto" w:fill="auto"/>
    </w:rPr>
  </w:style>
  <w:style w:type="paragraph" w:styleId="NoSpacing">
    <w:name w:val="No Spacing"/>
    <w:basedOn w:val="Normal"/>
    <w:uiPriority w:val="1"/>
    <w:qFormat/>
    <w:rsid w:val="003A2C21"/>
    <w:pPr>
      <w:spacing w:after="0" w:line="240" w:lineRule="auto"/>
    </w:pPr>
  </w:style>
  <w:style w:type="paragraph" w:styleId="ListParagraph">
    <w:name w:val="List Paragraph"/>
    <w:basedOn w:val="Normal"/>
    <w:uiPriority w:val="34"/>
    <w:qFormat/>
    <w:rsid w:val="003A2C21"/>
    <w:pPr>
      <w:ind w:left="720"/>
      <w:contextualSpacing/>
    </w:pPr>
  </w:style>
  <w:style w:type="paragraph" w:styleId="Quote">
    <w:name w:val="Quote"/>
    <w:basedOn w:val="Normal"/>
    <w:next w:val="Normal"/>
    <w:link w:val="QuoteChar"/>
    <w:uiPriority w:val="29"/>
    <w:qFormat/>
    <w:rsid w:val="003A2C21"/>
    <w:pPr>
      <w:spacing w:before="200" w:after="0"/>
      <w:ind w:left="360" w:right="360"/>
    </w:pPr>
    <w:rPr>
      <w:i/>
      <w:iCs/>
    </w:rPr>
  </w:style>
  <w:style w:type="character" w:customStyle="1" w:styleId="QuoteChar">
    <w:name w:val="Quote Char"/>
    <w:basedOn w:val="DefaultParagraphFont"/>
    <w:link w:val="Quote"/>
    <w:uiPriority w:val="29"/>
    <w:rsid w:val="003A2C21"/>
    <w:rPr>
      <w:i/>
      <w:iCs/>
    </w:rPr>
  </w:style>
  <w:style w:type="paragraph" w:styleId="IntenseQuote">
    <w:name w:val="Intense Quote"/>
    <w:basedOn w:val="Normal"/>
    <w:next w:val="Normal"/>
    <w:link w:val="IntenseQuoteChar"/>
    <w:uiPriority w:val="30"/>
    <w:qFormat/>
    <w:rsid w:val="003A2C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2C21"/>
    <w:rPr>
      <w:b/>
      <w:bCs/>
      <w:i/>
      <w:iCs/>
    </w:rPr>
  </w:style>
  <w:style w:type="character" w:styleId="SubtleEmphasis">
    <w:name w:val="Subtle Emphasis"/>
    <w:uiPriority w:val="19"/>
    <w:qFormat/>
    <w:rsid w:val="003A2C21"/>
    <w:rPr>
      <w:i/>
      <w:iCs/>
    </w:rPr>
  </w:style>
  <w:style w:type="character" w:styleId="IntenseEmphasis">
    <w:name w:val="Intense Emphasis"/>
    <w:uiPriority w:val="21"/>
    <w:qFormat/>
    <w:rsid w:val="003A2C21"/>
    <w:rPr>
      <w:b/>
      <w:bCs/>
    </w:rPr>
  </w:style>
  <w:style w:type="character" w:styleId="SubtleReference">
    <w:name w:val="Subtle Reference"/>
    <w:uiPriority w:val="31"/>
    <w:qFormat/>
    <w:rsid w:val="003A2C21"/>
    <w:rPr>
      <w:smallCaps/>
    </w:rPr>
  </w:style>
  <w:style w:type="character" w:styleId="IntenseReference">
    <w:name w:val="Intense Reference"/>
    <w:uiPriority w:val="32"/>
    <w:qFormat/>
    <w:rsid w:val="003A2C21"/>
    <w:rPr>
      <w:smallCaps/>
      <w:spacing w:val="5"/>
      <w:u w:val="single"/>
    </w:rPr>
  </w:style>
  <w:style w:type="character" w:styleId="BookTitle">
    <w:name w:val="Book Title"/>
    <w:uiPriority w:val="33"/>
    <w:qFormat/>
    <w:rsid w:val="003A2C21"/>
    <w:rPr>
      <w:i/>
      <w:iCs/>
      <w:smallCaps/>
      <w:spacing w:val="5"/>
    </w:rPr>
  </w:style>
  <w:style w:type="paragraph" w:styleId="TOCHeading">
    <w:name w:val="TOC Heading"/>
    <w:basedOn w:val="Heading1"/>
    <w:next w:val="Normal"/>
    <w:uiPriority w:val="39"/>
    <w:qFormat/>
    <w:rsid w:val="003A2C21"/>
    <w:pPr>
      <w:outlineLvl w:val="9"/>
    </w:pPr>
  </w:style>
  <w:style w:type="paragraph" w:styleId="Header">
    <w:name w:val="header"/>
    <w:basedOn w:val="Normal"/>
    <w:link w:val="HeaderChar"/>
    <w:uiPriority w:val="99"/>
    <w:semiHidden/>
    <w:unhideWhenUsed/>
    <w:rsid w:val="00B25C35"/>
    <w:pPr>
      <w:tabs>
        <w:tab w:val="center" w:pos="4680"/>
        <w:tab w:val="right" w:pos="9360"/>
      </w:tabs>
    </w:pPr>
  </w:style>
  <w:style w:type="character" w:customStyle="1" w:styleId="HeaderChar">
    <w:name w:val="Header Char"/>
    <w:basedOn w:val="DefaultParagraphFont"/>
    <w:link w:val="Header"/>
    <w:uiPriority w:val="99"/>
    <w:semiHidden/>
    <w:rsid w:val="00B25C35"/>
    <w:rPr>
      <w:sz w:val="22"/>
      <w:szCs w:val="22"/>
      <w:lang w:bidi="en-US"/>
    </w:rPr>
  </w:style>
  <w:style w:type="paragraph" w:styleId="Footer">
    <w:name w:val="footer"/>
    <w:basedOn w:val="Normal"/>
    <w:link w:val="FooterChar"/>
    <w:uiPriority w:val="99"/>
    <w:semiHidden/>
    <w:unhideWhenUsed/>
    <w:rsid w:val="00B25C35"/>
    <w:pPr>
      <w:tabs>
        <w:tab w:val="center" w:pos="4680"/>
        <w:tab w:val="right" w:pos="9360"/>
      </w:tabs>
    </w:pPr>
  </w:style>
  <w:style w:type="character" w:customStyle="1" w:styleId="FooterChar">
    <w:name w:val="Footer Char"/>
    <w:basedOn w:val="DefaultParagraphFont"/>
    <w:link w:val="Footer"/>
    <w:uiPriority w:val="99"/>
    <w:semiHidden/>
    <w:rsid w:val="00B25C35"/>
    <w:rPr>
      <w:sz w:val="22"/>
      <w:szCs w:val="22"/>
      <w:lang w:bidi="en-US"/>
    </w:rPr>
  </w:style>
  <w:style w:type="table" w:styleId="TableGrid">
    <w:name w:val="Table Grid"/>
    <w:basedOn w:val="TableNormal"/>
    <w:uiPriority w:val="59"/>
    <w:rsid w:val="00730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semiHidden/>
    <w:rsid w:val="000328BC"/>
    <w:pPr>
      <w:shd w:val="clear" w:color="auto" w:fill="000080"/>
    </w:pPr>
    <w:rPr>
      <w:rFonts w:ascii="Tahoma" w:hAnsi="Tahoma" w:cs="Tahoma"/>
      <w:sz w:val="20"/>
      <w:szCs w:val="20"/>
    </w:rPr>
  </w:style>
  <w:style w:type="character" w:styleId="Hyperlink">
    <w:name w:val="Hyperlink"/>
    <w:basedOn w:val="DefaultParagraphFont"/>
    <w:rsid w:val="00FC3EDD"/>
    <w:rPr>
      <w:color w:val="0000FF"/>
      <w:u w:val="single"/>
    </w:rPr>
  </w:style>
  <w:style w:type="character" w:styleId="PageNumber">
    <w:name w:val="page number"/>
    <w:basedOn w:val="DefaultParagraphFont"/>
    <w:rsid w:val="006B7DFC"/>
  </w:style>
  <w:style w:type="paragraph" w:styleId="BalloonText">
    <w:name w:val="Balloon Text"/>
    <w:basedOn w:val="Normal"/>
    <w:semiHidden/>
    <w:rsid w:val="007C6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purpose of “SciDept” Model is to project the twelve year cost of creating and running a new science department for a local university</vt:lpstr>
    </vt:vector>
  </TitlesOfParts>
  <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“SciDept” Model is to project the twelve year cost of creating and running a new science department for a local university</dc:title>
  <dc:subject/>
  <dc:creator>Richard Brenner</dc:creator>
  <cp:keywords/>
  <cp:lastModifiedBy>Richard Brenner</cp:lastModifiedBy>
  <cp:revision>2</cp:revision>
  <dcterms:created xsi:type="dcterms:W3CDTF">2012-11-14T20:02:00Z</dcterms:created>
  <dcterms:modified xsi:type="dcterms:W3CDTF">2012-11-14T20:02:00Z</dcterms:modified>
</cp:coreProperties>
</file>